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left" w:leader="none" w:pos="7513"/>
        </w:tabs>
        <w:spacing w:after="120" w:before="0" w:lineRule="auto"/>
        <w:ind w:right="-142"/>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rPr>
        <w:drawing>
          <wp:inline distB="0" distT="0" distL="0" distR="0">
            <wp:extent cx="5274752" cy="2191991"/>
            <wp:effectExtent b="0" l="0" r="0" t="0"/>
            <wp:docPr descr="metin, ekran görüntüsü, yazı tipi, çizgi içeren bir resim&#10;&#10;Açıklama otomatik olarak oluşturuldu" id="1994631452"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8"/>
                    <a:srcRect b="0" l="0" r="0" t="0"/>
                    <a:stretch>
                      <a:fillRect/>
                    </a:stretch>
                  </pic:blipFill>
                  <pic:spPr>
                    <a:xfrm>
                      <a:off x="0" y="0"/>
                      <a:ext cx="5274752" cy="219199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120" w:lineRule="auto"/>
        <w:ind w:right="-142"/>
        <w:jc w:val="both"/>
        <w:rPr/>
      </w:pPr>
      <w:r w:rsidDel="00000000" w:rsidR="00000000" w:rsidRPr="00000000">
        <w:rPr>
          <w:rtl w:val="0"/>
        </w:rPr>
      </w:r>
    </w:p>
    <w:p w:rsidR="00000000" w:rsidDel="00000000" w:rsidP="00000000" w:rsidRDefault="00000000" w:rsidRPr="00000000" w14:paraId="00000003">
      <w:pPr>
        <w:spacing w:after="120" w:lineRule="auto"/>
        <w:ind w:right="-142"/>
        <w:jc w:val="both"/>
        <w:rPr/>
      </w:pPr>
      <w:r w:rsidDel="00000000" w:rsidR="00000000" w:rsidRPr="00000000">
        <w:rPr>
          <w:rtl w:val="0"/>
        </w:rPr>
      </w:r>
    </w:p>
    <w:p w:rsidR="00000000" w:rsidDel="00000000" w:rsidP="00000000" w:rsidRDefault="00000000" w:rsidRPr="00000000" w14:paraId="00000004">
      <w:pPr>
        <w:spacing w:after="120" w:lineRule="auto"/>
        <w:ind w:right="-142"/>
        <w:jc w:val="both"/>
        <w:rPr/>
      </w:pPr>
      <w:r w:rsidDel="00000000" w:rsidR="00000000" w:rsidRPr="00000000">
        <w:rPr>
          <w:rtl w:val="0"/>
        </w:rPr>
      </w:r>
    </w:p>
    <w:p w:rsidR="00000000" w:rsidDel="00000000" w:rsidP="00000000" w:rsidRDefault="00000000" w:rsidRPr="00000000" w14:paraId="00000005">
      <w:pPr>
        <w:spacing w:after="120" w:lineRule="auto"/>
        <w:ind w:right="-142"/>
        <w:jc w:val="both"/>
        <w:rPr/>
      </w:pPr>
      <w:r w:rsidDel="00000000" w:rsidR="00000000" w:rsidRPr="00000000">
        <w:rPr>
          <w:rtl w:val="0"/>
        </w:rPr>
      </w:r>
    </w:p>
    <w:p w:rsidR="00000000" w:rsidDel="00000000" w:rsidP="00000000" w:rsidRDefault="00000000" w:rsidRPr="00000000" w14:paraId="00000006">
      <w:pPr>
        <w:spacing w:after="120" w:lineRule="auto"/>
        <w:ind w:right="-142"/>
        <w:jc w:val="both"/>
        <w:rPr/>
      </w:pPr>
      <w:r w:rsidDel="00000000" w:rsidR="00000000" w:rsidRPr="00000000">
        <w:rPr>
          <w:rtl w:val="0"/>
        </w:rPr>
      </w:r>
    </w:p>
    <w:p w:rsidR="00000000" w:rsidDel="00000000" w:rsidP="00000000" w:rsidRDefault="00000000" w:rsidRPr="00000000" w14:paraId="00000007">
      <w:pPr>
        <w:spacing w:after="120" w:lineRule="auto"/>
        <w:ind w:right="-142"/>
        <w:jc w:val="both"/>
        <w:rPr/>
        <w:sectPr>
          <w:headerReference r:id="rId9" w:type="default"/>
          <w:headerReference r:id="rId10" w:type="first"/>
          <w:pgSz w:h="16838" w:w="11906" w:orient="portrait"/>
          <w:pgMar w:bottom="1417" w:top="1417" w:left="1842" w:right="1275" w:header="708" w:footer="708"/>
          <w:pgNumType w:start="1"/>
        </w:sectPr>
      </w:pPr>
      <w:r w:rsidDel="00000000" w:rsidR="00000000" w:rsidRPr="00000000">
        <w:rPr>
          <w:rtl w:val="0"/>
        </w:rPr>
      </w:r>
    </w:p>
    <w:p w:rsidR="00000000" w:rsidDel="00000000" w:rsidP="00000000" w:rsidRDefault="00000000" w:rsidRPr="00000000" w14:paraId="00000008">
      <w:pPr>
        <w:spacing w:after="120" w:lineRule="auto"/>
        <w:ind w:right="-142"/>
        <w:jc w:val="both"/>
        <w:rPr>
          <w:b w:val="1"/>
          <w:color w:val="002465"/>
          <w:sz w:val="44"/>
          <w:szCs w:val="44"/>
        </w:rPr>
      </w:pPr>
      <w:r w:rsidDel="00000000" w:rsidR="00000000" w:rsidRPr="00000000">
        <w:rPr>
          <w:rtl w:val="0"/>
        </w:rPr>
      </w:r>
    </w:p>
    <w:p w:rsidR="00000000" w:rsidDel="00000000" w:rsidP="00000000" w:rsidRDefault="00000000" w:rsidRPr="00000000" w14:paraId="00000009">
      <w:pPr>
        <w:spacing w:after="120" w:lineRule="auto"/>
        <w:ind w:right="-142"/>
        <w:jc w:val="both"/>
        <w:rPr>
          <w:b w:val="1"/>
          <w:color w:val="002465"/>
          <w:sz w:val="44"/>
          <w:szCs w:val="44"/>
        </w:rPr>
      </w:pPr>
      <w:r w:rsidDel="00000000" w:rsidR="00000000" w:rsidRPr="00000000">
        <w:rPr>
          <w:b w:val="1"/>
          <w:color w:val="002465"/>
          <w:sz w:val="44"/>
          <w:szCs w:val="44"/>
          <w:rtl w:val="0"/>
        </w:rPr>
        <w:t xml:space="preserve">Activity 1.1: Current Situation and Capacity Analyses in Climate Change Adaptation / Step 3: Review and Summary of EU Climate Change Adaptation Strategies and Tools</w:t>
      </w:r>
    </w:p>
    <w:p w:rsidR="00000000" w:rsidDel="00000000" w:rsidP="00000000" w:rsidRDefault="00000000" w:rsidRPr="00000000" w14:paraId="0000000A">
      <w:pPr>
        <w:spacing w:after="120" w:lineRule="auto"/>
        <w:ind w:right="-142"/>
        <w:jc w:val="both"/>
        <w:rPr>
          <w:color w:val="002465"/>
          <w:sz w:val="28"/>
          <w:szCs w:val="28"/>
        </w:rPr>
      </w:pPr>
      <w:r w:rsidDel="00000000" w:rsidR="00000000" w:rsidRPr="00000000">
        <w:rPr>
          <w:rtl w:val="0"/>
        </w:rPr>
      </w:r>
    </w:p>
    <w:p w:rsidR="00000000" w:rsidDel="00000000" w:rsidP="00000000" w:rsidRDefault="00000000" w:rsidRPr="00000000" w14:paraId="0000000B">
      <w:pPr>
        <w:spacing w:after="120" w:lineRule="auto"/>
        <w:ind w:right="-142"/>
        <w:jc w:val="both"/>
        <w:rPr>
          <w:color w:val="002465"/>
          <w:sz w:val="28"/>
          <w:szCs w:val="28"/>
        </w:rPr>
      </w:pPr>
      <w:r w:rsidDel="00000000" w:rsidR="00000000" w:rsidRPr="00000000">
        <w:rPr>
          <w:color w:val="002465"/>
          <w:sz w:val="28"/>
          <w:szCs w:val="28"/>
          <w:rtl w:val="0"/>
        </w:rPr>
        <w:t xml:space="preserve">Step2CleanPlan Work Package: 1</w:t>
      </w:r>
    </w:p>
    <w:p w:rsidR="00000000" w:rsidDel="00000000" w:rsidP="00000000" w:rsidRDefault="00000000" w:rsidRPr="00000000" w14:paraId="0000000C">
      <w:pPr>
        <w:spacing w:after="120" w:lineRule="auto"/>
        <w:ind w:right="-142"/>
        <w:jc w:val="both"/>
        <w:rPr>
          <w:color w:val="5e678b"/>
        </w:rPr>
      </w:pPr>
      <w:r w:rsidDel="00000000" w:rsidR="00000000" w:rsidRPr="00000000">
        <w:rPr>
          <w:rtl w:val="0"/>
        </w:rPr>
      </w:r>
    </w:p>
    <w:p w:rsidR="00000000" w:rsidDel="00000000" w:rsidP="00000000" w:rsidRDefault="00000000" w:rsidRPr="00000000" w14:paraId="0000000D">
      <w:pPr>
        <w:spacing w:after="120" w:lineRule="auto"/>
        <w:ind w:right="-142"/>
        <w:jc w:val="both"/>
        <w:rPr>
          <w:color w:val="000000"/>
        </w:rPr>
      </w:pPr>
      <w:r w:rsidDel="00000000" w:rsidR="00000000" w:rsidRPr="00000000">
        <w:rPr>
          <w:color w:val="000000"/>
          <w:rtl w:val="0"/>
        </w:rPr>
        <w:t xml:space="preserve">‘COOPERATION FOR SUSTAINABLE ENERGY &amp; CLIMATE ACTIONS’ PLANNING AND MONITORING</w:t>
      </w:r>
    </w:p>
    <w:p w:rsidR="00000000" w:rsidDel="00000000" w:rsidP="00000000" w:rsidRDefault="00000000" w:rsidRPr="00000000" w14:paraId="0000000E">
      <w:pPr>
        <w:spacing w:after="120" w:lineRule="auto"/>
        <w:ind w:right="-142"/>
        <w:jc w:val="both"/>
        <w:rPr>
          <w:color w:val="000000"/>
        </w:rPr>
      </w:pPr>
      <w:r w:rsidDel="00000000" w:rsidR="00000000" w:rsidRPr="00000000">
        <w:rPr>
          <w:color w:val="000000"/>
          <w:rtl w:val="0"/>
        </w:rPr>
        <w:t xml:space="preserve">Contract no: BSB00004</w:t>
      </w:r>
    </w:p>
    <w:p w:rsidR="00000000" w:rsidDel="00000000" w:rsidP="00000000" w:rsidRDefault="00000000" w:rsidRPr="00000000" w14:paraId="0000000F">
      <w:pPr>
        <w:spacing w:after="120" w:lineRule="auto"/>
        <w:ind w:right="-142"/>
        <w:jc w:val="both"/>
        <w:rPr>
          <w:color w:val="000000"/>
        </w:rPr>
      </w:pPr>
      <w:r w:rsidDel="00000000" w:rsidR="00000000" w:rsidRPr="00000000">
        <w:rPr>
          <w:color w:val="000000"/>
          <w:rtl w:val="0"/>
        </w:rPr>
        <w:t xml:space="preserve">From 01/07/2024 to 31/12/2025</w:t>
      </w:r>
    </w:p>
    <w:p w:rsidR="00000000" w:rsidDel="00000000" w:rsidP="00000000" w:rsidRDefault="00000000" w:rsidRPr="00000000" w14:paraId="00000010">
      <w:pPr>
        <w:spacing w:after="120" w:lineRule="auto"/>
        <w:ind w:right="-142"/>
        <w:jc w:val="both"/>
        <w:rPr>
          <w:color w:val="000000"/>
        </w:rPr>
      </w:pPr>
      <w:r w:rsidDel="00000000" w:rsidR="00000000" w:rsidRPr="00000000">
        <w:rPr>
          <w:rtl w:val="0"/>
        </w:rPr>
      </w:r>
    </w:p>
    <w:p w:rsidR="00000000" w:rsidDel="00000000" w:rsidP="00000000" w:rsidRDefault="00000000" w:rsidRPr="00000000" w14:paraId="00000011">
      <w:pPr>
        <w:spacing w:after="120" w:lineRule="auto"/>
        <w:ind w:right="-142"/>
        <w:jc w:val="both"/>
        <w:rPr>
          <w:color w:val="5e678b"/>
          <w:sz w:val="28"/>
          <w:szCs w:val="28"/>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-914399</wp:posOffset>
                </wp:positionH>
                <wp:positionV relativeFrom="paragraph">
                  <wp:posOffset>88900</wp:posOffset>
                </wp:positionV>
                <wp:extent cx="11430" cy="12700"/>
                <wp:effectExtent b="0" l="0" r="0" t="0"/>
                <wp:wrapNone/>
                <wp:docPr id="1994631450" name=""/>
                <a:graphic>
                  <a:graphicData uri="http://schemas.microsoft.com/office/word/2010/wordprocessingShape">
                    <wps:wsp>
                      <wps:cNvCnPr/>
                      <wps:spPr>
                        <a:xfrm rot="10800000">
                          <a:off x="2754247" y="3774285"/>
                          <a:ext cx="5183506" cy="11430"/>
                        </a:xfrm>
                        <a:prstGeom prst="straightConnector1">
                          <a:avLst/>
                        </a:prstGeom>
                        <a:noFill/>
                        <a:ln cap="flat" cmpd="sng" w="12700">
                          <a:solidFill>
                            <a:srgbClr val="A9C21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88900</wp:posOffset>
                </wp:positionV>
                <wp:extent cx="11430" cy="12700"/>
                <wp:effectExtent b="0" l="0" r="0" t="0"/>
                <wp:wrapNone/>
                <wp:docPr id="1994631450"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1430" cy="12700"/>
                        </a:xfrm>
                        <a:prstGeom prst="rect"/>
                        <a:ln/>
                      </pic:spPr>
                    </pic:pic>
                  </a:graphicData>
                </a:graphic>
              </wp:anchor>
            </w:drawing>
          </mc:Fallback>
        </mc:AlternateContent>
      </w:r>
    </w:p>
    <w:p w:rsidR="00000000" w:rsidDel="00000000" w:rsidP="00000000" w:rsidRDefault="00000000" w:rsidRPr="00000000" w14:paraId="00000012">
      <w:pPr>
        <w:spacing w:after="120" w:lineRule="auto"/>
        <w:ind w:right="-142"/>
        <w:jc w:val="both"/>
        <w:rPr/>
      </w:pPr>
      <w:r w:rsidDel="00000000" w:rsidR="00000000" w:rsidRPr="00000000">
        <w:rPr>
          <w:rtl w:val="0"/>
        </w:rPr>
        <w:t xml:space="preserve">Date: 15/03/2025</w:t>
      </w:r>
    </w:p>
    <w:p w:rsidR="00000000" w:rsidDel="00000000" w:rsidP="00000000" w:rsidRDefault="00000000" w:rsidRPr="00000000" w14:paraId="00000013">
      <w:pPr>
        <w:spacing w:after="120" w:lineRule="auto"/>
        <w:ind w:right="-142"/>
        <w:jc w:val="both"/>
        <w:rPr/>
        <w:sectPr>
          <w:type w:val="continuous"/>
          <w:pgSz w:h="16838" w:w="11906" w:orient="portrait"/>
          <w:pgMar w:bottom="1417" w:top="1417" w:left="1842" w:right="1275" w:header="708" w:footer="708"/>
        </w:sectPr>
      </w:pPr>
      <w:r w:rsidDel="00000000" w:rsidR="00000000" w:rsidRPr="00000000">
        <w:rPr>
          <w:rtl w:val="0"/>
        </w:rPr>
        <w:t xml:space="preserve">Version: Final</w:t>
      </w:r>
    </w:p>
    <w:p w:rsidR="00000000" w:rsidDel="00000000" w:rsidP="00000000" w:rsidRDefault="00000000" w:rsidRPr="00000000" w14:paraId="00000014">
      <w:pPr>
        <w:ind w:right="-142"/>
        <w:rPr/>
        <w:sectPr>
          <w:headerReference r:id="rId12" w:type="default"/>
          <w:type w:val="nextPage"/>
          <w:pgSz w:h="16838" w:w="11906" w:orient="portrait"/>
          <w:pgMar w:bottom="1417" w:top="1417" w:left="1842" w:right="1275" w:header="708" w:footer="708"/>
        </w:sect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0"/>
          <w:tab w:val="left" w:leader="none" w:pos="1191"/>
          <w:tab w:val="left" w:leader="none" w:pos="1531"/>
        </w:tabs>
        <w:spacing w:after="120" w:before="120" w:line="240" w:lineRule="auto"/>
        <w:ind w:left="0"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ab/>
      </w:r>
    </w:p>
    <w:sdt>
      <w:sdtPr>
        <w:docPartObj>
          <w:docPartGallery w:val="Table of Contents"/>
          <w:docPartUnique w:val="1"/>
        </w:docPartObj>
      </w:sdtPr>
      <w:sdtContent>
        <w:p w:rsidR="00000000" w:rsidDel="00000000" w:rsidP="00000000" w:rsidRDefault="00000000" w:rsidRPr="00000000" w14:paraId="00000016">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fob9te">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1 Introduction</w:t>
              <w:tab/>
              <w:t xml:space="preserve">2</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2 Overview of the EU Climate Policy Framework</w:t>
              <w:tab/>
              <w:t xml:space="preserve">3</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2.1 Green Deal - European Climate Law</w:t>
              <w:tab/>
              <w:t xml:space="preserve">3</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2.2 Fitfor55 package</w:t>
              <w:tab/>
              <w:t xml:space="preserve">4</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2.3 EU Adaptation Strategy</w:t>
              <w:tab/>
              <w:t xml:space="preserve">7</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2.4 REPOWER EU</w:t>
              <w:tab/>
              <w:t xml:space="preserve">8</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2.5 Conclusion</w:t>
              <w:tab/>
              <w:t xml:space="preserve">8</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3 EU Climate Change Tools and Instruments for Local Government</w:t>
              <w:tab/>
              <w:t xml:space="preserve">10</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3.1 Covenant of Mayors</w:t>
              <w:tab/>
              <w:t xml:space="preserve">10</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3.2 Climate-ADAPT</w:t>
              <w:tab/>
              <w:t xml:space="preserve">13</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3.3 Funding Mechanisms</w:t>
              <w:tab/>
              <w:t xml:space="preserve">14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1"/>
        <w:numPr>
          <w:ilvl w:val="0"/>
          <w:numId w:val="8"/>
        </w:numPr>
        <w:ind w:left="432" w:hanging="432"/>
        <w:jc w:val="both"/>
        <w:rPr/>
      </w:pPr>
      <w:bookmarkStart w:colFirst="0" w:colLast="0" w:name="_heading=h.1fob9te" w:id="1"/>
      <w:bookmarkEnd w:id="1"/>
      <w:r w:rsidDel="00000000" w:rsidR="00000000" w:rsidRPr="00000000">
        <w:rPr>
          <w:rtl w:val="0"/>
        </w:rPr>
        <w:t xml:space="preserve">Introduction</w:t>
      </w:r>
    </w:p>
    <w:p w:rsidR="00000000" w:rsidDel="00000000" w:rsidP="00000000" w:rsidRDefault="00000000" w:rsidRPr="00000000" w14:paraId="0000003E">
      <w:pPr>
        <w:jc w:val="both"/>
        <w:rPr/>
      </w:pPr>
      <w:r w:rsidDel="00000000" w:rsidR="00000000" w:rsidRPr="00000000">
        <w:rPr>
          <w:rtl w:val="0"/>
        </w:rPr>
        <w:t xml:space="preserve">As climate change impacts intensify, the urgency for stronger, more ambitious, and immediate global climate action continues to grow. The challenge that humanity faces is enormous and responding to such a threat requires an unprecedented effort. To that end, everyone must contribute significantly according to their capacity, with developed countries taking the lead in this fight.</w:t>
      </w:r>
    </w:p>
    <w:p w:rsidR="00000000" w:rsidDel="00000000" w:rsidP="00000000" w:rsidRDefault="00000000" w:rsidRPr="00000000" w14:paraId="0000003F">
      <w:pPr>
        <w:jc w:val="both"/>
        <w:rPr/>
      </w:pPr>
      <w:r w:rsidDel="00000000" w:rsidR="00000000" w:rsidRPr="00000000">
        <w:rPr>
          <w:rtl w:val="0"/>
        </w:rPr>
        <w:t xml:space="preserve"> </w:t>
      </w:r>
    </w:p>
    <w:p w:rsidR="00000000" w:rsidDel="00000000" w:rsidP="00000000" w:rsidRDefault="00000000" w:rsidRPr="00000000" w14:paraId="00000040">
      <w:pPr>
        <w:spacing w:after="160" w:line="278.00000000000006" w:lineRule="auto"/>
        <w:jc w:val="both"/>
        <w:rPr/>
      </w:pPr>
      <w:r w:rsidDel="00000000" w:rsidR="00000000" w:rsidRPr="00000000">
        <w:rPr>
          <w:rtl w:val="0"/>
        </w:rPr>
        <w:t xml:space="preserve">This need is also emphasized in the Paris Agreement, the long-awaited global accord on climate change, which set a new benchmark for climate action. In 2015, nations around the world agreed to limit global temperature rise to well below 2°C by 2100 compared to pre-industrial levels, while pursuing efforts to keep the increase within 1.5°C. Additionally, they recognized that some climate change impacts are unavoidable, making adaptation measures essential.</w:t>
      </w:r>
    </w:p>
    <w:p w:rsidR="00000000" w:rsidDel="00000000" w:rsidP="00000000" w:rsidRDefault="00000000" w:rsidRPr="00000000" w14:paraId="00000041">
      <w:pPr>
        <w:jc w:val="both"/>
        <w:rPr/>
      </w:pPr>
      <w:r w:rsidDel="00000000" w:rsidR="00000000" w:rsidRPr="00000000">
        <w:rPr>
          <w:rtl w:val="0"/>
        </w:rPr>
        <w:t xml:space="preserve">The European Union (EU) has played a leading role in this fight, setting ambitious targets and implementing strict, complex, and often innovative climate policies. In 2019, the EU introduced the Green Deal</w:t>
      </w:r>
      <w:r w:rsidDel="00000000" w:rsidR="00000000" w:rsidRPr="00000000">
        <w:rPr>
          <w:vertAlign w:val="superscript"/>
        </w:rPr>
        <w:footnoteReference w:customMarkFollows="0" w:id="0"/>
      </w:r>
      <w:r w:rsidDel="00000000" w:rsidR="00000000" w:rsidRPr="00000000">
        <w:rPr>
          <w:rtl w:val="0"/>
        </w:rPr>
        <w:t xml:space="preserve"> – an overarching strategy aimed at making Europe the first climate-neutral continent while ensuring economic growth, social fairness and environmental protection.</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spacing w:after="160" w:line="278.00000000000006" w:lineRule="auto"/>
        <w:jc w:val="both"/>
        <w:rPr/>
      </w:pPr>
      <w:r w:rsidDel="00000000" w:rsidR="00000000" w:rsidRPr="00000000">
        <w:rPr>
          <w:rtl w:val="0"/>
        </w:rPr>
        <w:t xml:space="preserve">For the European Green Deal to succeed, action is required at all levels of government, including local authorities, municipalities, and regional administrations. Cities, in particular, can leverage EU funding, existing policies, and community engagement to transition toward climate neutrality while simultaneously improving quality of life. </w:t>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1"/>
        <w:numPr>
          <w:ilvl w:val="0"/>
          <w:numId w:val="8"/>
        </w:numPr>
        <w:ind w:left="432" w:hanging="432"/>
        <w:rPr/>
      </w:pPr>
      <w:bookmarkStart w:colFirst="0" w:colLast="0" w:name="_heading=h.3znysh7" w:id="2"/>
      <w:bookmarkEnd w:id="2"/>
      <w:r w:rsidDel="00000000" w:rsidR="00000000" w:rsidRPr="00000000">
        <w:rPr>
          <w:rtl w:val="0"/>
        </w:rPr>
        <w:t xml:space="preserve">Overview of the EU Climate Policy Framework</w:t>
      </w:r>
    </w:p>
    <w:p w:rsidR="00000000" w:rsidDel="00000000" w:rsidP="00000000" w:rsidRDefault="00000000" w:rsidRPr="00000000" w14:paraId="00000046">
      <w:pPr>
        <w:pStyle w:val="Heading2"/>
        <w:rPr/>
      </w:pPr>
      <w:bookmarkStart w:colFirst="0" w:colLast="0" w:name="_heading=h.2et92p0" w:id="3"/>
      <w:bookmarkEnd w:id="3"/>
      <w:r w:rsidDel="00000000" w:rsidR="00000000" w:rsidRPr="00000000">
        <w:rPr>
          <w:rtl w:val="0"/>
        </w:rPr>
        <w:t xml:space="preserve">2.1 Green Deal - European Climate Law</w:t>
      </w:r>
    </w:p>
    <w:p w:rsidR="00000000" w:rsidDel="00000000" w:rsidP="00000000" w:rsidRDefault="00000000" w:rsidRPr="00000000" w14:paraId="00000047">
      <w:pPr>
        <w:jc w:val="both"/>
        <w:rPr/>
      </w:pPr>
      <w:r w:rsidDel="00000000" w:rsidR="00000000" w:rsidRPr="00000000">
        <w:rPr>
          <w:rtl w:val="0"/>
        </w:rPr>
        <w:t xml:space="preserve">Even before the European Green Deal, the EU had a comprehensive climate policy framework, with specific targets for several aspects related to the reduction of the temperature rise due to climate change. The previous targets set by EU member states were part of the 2030 Climate and Energy Framework</w:t>
      </w:r>
      <w:r w:rsidDel="00000000" w:rsidR="00000000" w:rsidRPr="00000000">
        <w:rPr>
          <w:vertAlign w:val="superscript"/>
        </w:rPr>
        <w:footnoteReference w:customMarkFollows="0" w:id="1"/>
      </w:r>
      <w:r w:rsidDel="00000000" w:rsidR="00000000" w:rsidRPr="00000000">
        <w:rPr>
          <w:rtl w:val="0"/>
        </w:rPr>
        <w:t xml:space="preserve">, which was adopted in 2014. These included </w:t>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40% reduction in greenhouse gas (GHG) emissions by 2030 compared to 1990 and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 target for the share of renewables in total energy consumption by 2030.</w:t>
      </w:r>
    </w:p>
    <w:p w:rsidR="00000000" w:rsidDel="00000000" w:rsidP="00000000" w:rsidRDefault="00000000" w:rsidRPr="00000000" w14:paraId="0000004A">
      <w:pPr>
        <w:jc w:val="both"/>
        <w:rPr/>
      </w:pPr>
      <w:r w:rsidDel="00000000" w:rsidR="00000000" w:rsidRPr="00000000">
        <w:rPr>
          <w:rtl w:val="0"/>
        </w:rPr>
      </w:r>
    </w:p>
    <w:p w:rsidR="00000000" w:rsidDel="00000000" w:rsidP="00000000" w:rsidRDefault="00000000" w:rsidRPr="00000000" w14:paraId="0000004B">
      <w:pPr>
        <w:jc w:val="both"/>
        <w:rPr/>
      </w:pPr>
      <w:r w:rsidDel="00000000" w:rsidR="00000000" w:rsidRPr="00000000">
        <w:rPr>
          <w:rtl w:val="0"/>
        </w:rPr>
        <w:t xml:space="preserve">However, progress following the adoption of the 2030 Climate and Energy Framework had been slow. Especially after the Paris Agreement, it became evident that a new framework with updated, more ambitious targets was necessary. In response, the European Commission put forward in 2019  the proposal for the European Green Deal, a roadmap for Europe to become the first climate neutral continent by 2050.</w:t>
      </w:r>
    </w:p>
    <w:p w:rsidR="00000000" w:rsidDel="00000000" w:rsidP="00000000" w:rsidRDefault="00000000" w:rsidRPr="00000000" w14:paraId="0000004C">
      <w:pPr>
        <w:jc w:val="both"/>
        <w:rPr/>
      </w:pPr>
      <w:r w:rsidDel="00000000" w:rsidR="00000000" w:rsidRPr="00000000">
        <w:rPr>
          <w:rtl w:val="0"/>
        </w:rPr>
      </w:r>
    </w:p>
    <w:p w:rsidR="00000000" w:rsidDel="00000000" w:rsidP="00000000" w:rsidRDefault="00000000" w:rsidRPr="00000000" w14:paraId="0000004D">
      <w:pPr>
        <w:jc w:val="both"/>
        <w:rPr/>
      </w:pPr>
      <w:r w:rsidDel="00000000" w:rsidR="00000000" w:rsidRPr="00000000">
        <w:rPr>
          <w:rtl w:val="0"/>
        </w:rPr>
        <w:t xml:space="preserve">The European Green Deal is not just a new set of targets; it is a comprehensive strategy aimed at transforming the EU’s economy and society. It seeks to ensure a fair and prosperous future, fostering economic competitiveness while decoupling growth from resource use. To achieve this the European Green Deal touches upon all the sectors of the economy (transport, energy, agriculture, building, industries etc.). The implementation of the European Green Deal started with the first European “Climate Law”.</w:t>
      </w:r>
    </w:p>
    <w:p w:rsidR="00000000" w:rsidDel="00000000" w:rsidP="00000000" w:rsidRDefault="00000000" w:rsidRPr="00000000" w14:paraId="0000004E">
      <w:pPr>
        <w:jc w:val="both"/>
        <w:rPr/>
      </w:pPr>
      <w:r w:rsidDel="00000000" w:rsidR="00000000" w:rsidRPr="00000000">
        <w:rPr>
          <w:rtl w:val="0"/>
        </w:rPr>
      </w:r>
    </w:p>
    <w:p w:rsidR="00000000" w:rsidDel="00000000" w:rsidP="00000000" w:rsidRDefault="00000000" w:rsidRPr="00000000" w14:paraId="0000004F">
      <w:pPr>
        <w:jc w:val="both"/>
        <w:rPr/>
      </w:pPr>
      <w:r w:rsidDel="00000000" w:rsidR="00000000" w:rsidRPr="00000000">
        <w:rPr>
          <w:rtl w:val="0"/>
        </w:rPr>
        <w:t xml:space="preserve">The European Climate Law</w:t>
      </w:r>
      <w:r w:rsidDel="00000000" w:rsidR="00000000" w:rsidRPr="00000000">
        <w:rPr>
          <w:vertAlign w:val="superscript"/>
        </w:rPr>
        <w:footnoteReference w:customMarkFollows="0" w:id="2"/>
      </w:r>
      <w:r w:rsidDel="00000000" w:rsidR="00000000" w:rsidRPr="00000000">
        <w:rPr>
          <w:rtl w:val="0"/>
        </w:rPr>
        <w:t xml:space="preserve"> made the goals that were set out at the Green Deal legally binding. Specifically, the law mandates that the EU:</w:t>
      </w:r>
    </w:p>
    <w:p w:rsidR="00000000" w:rsidDel="00000000" w:rsidP="00000000" w:rsidRDefault="00000000" w:rsidRPr="00000000" w14:paraId="00000050">
      <w:pPr>
        <w:jc w:val="both"/>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Achieve climate neutrality by 2050.</w:t>
      </w:r>
    </w:p>
    <w:p w:rsidR="00000000" w:rsidDel="00000000" w:rsidP="00000000" w:rsidRDefault="00000000" w:rsidRPr="00000000" w14:paraId="0000005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Reduce net GHG emissions by 55% by 2030 compared to 1990 levels.</w:t>
      </w:r>
    </w:p>
    <w:p w:rsidR="00000000" w:rsidDel="00000000" w:rsidP="00000000" w:rsidRDefault="00000000" w:rsidRPr="00000000" w14:paraId="0000005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Enhance the EU’s carbon sink capacity.</w:t>
      </w:r>
    </w:p>
    <w:p w:rsidR="00000000" w:rsidDel="00000000" w:rsidP="00000000" w:rsidRDefault="00000000" w:rsidRPr="00000000" w14:paraId="0000005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Establish a process to set a 2040 climate target.</w:t>
      </w:r>
    </w:p>
    <w:p w:rsidR="00000000" w:rsidDel="00000000" w:rsidP="00000000" w:rsidRDefault="00000000" w:rsidRPr="00000000" w14:paraId="0000005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Commit to negative emissions after 2050.</w:t>
      </w:r>
    </w:p>
    <w:p w:rsidR="00000000" w:rsidDel="00000000" w:rsidP="00000000" w:rsidRDefault="00000000" w:rsidRPr="00000000" w14:paraId="0000005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Create the European Scientific Advisory Board on Climate Change to provide independent scientific advice.</w:t>
      </w:r>
    </w:p>
    <w:p w:rsidR="00000000" w:rsidDel="00000000" w:rsidP="00000000" w:rsidRDefault="00000000" w:rsidRPr="00000000" w14:paraId="0000005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78"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Strengthen climate adaptation provisions.</w:t>
      </w:r>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r>
    </w:p>
    <w:p w:rsidR="00000000" w:rsidDel="00000000" w:rsidP="00000000" w:rsidRDefault="00000000" w:rsidRPr="00000000" w14:paraId="00000059">
      <w:pPr>
        <w:jc w:val="both"/>
        <w:rPr/>
      </w:pPr>
      <w:r w:rsidDel="00000000" w:rsidR="00000000" w:rsidRPr="00000000">
        <w:rPr>
          <w:rtl w:val="0"/>
        </w:rPr>
      </w:r>
    </w:p>
    <w:p w:rsidR="00000000" w:rsidDel="00000000" w:rsidP="00000000" w:rsidRDefault="00000000" w:rsidRPr="00000000" w14:paraId="0000005A">
      <w:pPr>
        <w:pStyle w:val="Heading2"/>
        <w:rPr/>
      </w:pPr>
      <w:bookmarkStart w:colFirst="0" w:colLast="0" w:name="_heading=h.tyjcwt" w:id="4"/>
      <w:bookmarkEnd w:id="4"/>
      <w:r w:rsidDel="00000000" w:rsidR="00000000" w:rsidRPr="00000000">
        <w:rPr>
          <w:rtl w:val="0"/>
        </w:rPr>
        <w:t xml:space="preserve">2.2 Fitfor55 package </w:t>
      </w:r>
    </w:p>
    <w:p w:rsidR="00000000" w:rsidDel="00000000" w:rsidP="00000000" w:rsidRDefault="00000000" w:rsidRPr="00000000" w14:paraId="0000005B">
      <w:pPr>
        <w:jc w:val="both"/>
        <w:rPr/>
      </w:pPr>
      <w:r w:rsidDel="00000000" w:rsidR="00000000" w:rsidRPr="00000000">
        <w:rPr>
          <w:rtl w:val="0"/>
        </w:rPr>
        <w:t xml:space="preserve">To deliver the 55% emission reduction by 2030, the EU introduced the Fit for 55 legislative package, which amends existing laws and introduces new regulations across multiple sectors contributing to EU emissions.</w:t>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rtl w:val="0"/>
        </w:rPr>
        <w:t xml:space="preserve">These legislative measures are interconnected and can be categorized into several key themes:</w:t>
      </w:r>
    </w:p>
    <w:p w:rsidR="00000000" w:rsidDel="00000000" w:rsidP="00000000" w:rsidRDefault="00000000" w:rsidRPr="00000000" w14:paraId="0000005E">
      <w:pPr>
        <w:jc w:val="both"/>
        <w:rPr/>
      </w:pPr>
      <w:r w:rsidDel="00000000" w:rsidR="00000000" w:rsidRPr="00000000">
        <w:rPr>
          <w:rtl w:val="0"/>
        </w:rPr>
      </w:r>
    </w:p>
    <w:p w:rsidR="00000000" w:rsidDel="00000000" w:rsidP="00000000" w:rsidRDefault="00000000" w:rsidRPr="00000000" w14:paraId="0000005F">
      <w:pPr>
        <w:jc w:val="both"/>
        <w:rPr>
          <w:b w:val="1"/>
        </w:rPr>
      </w:pPr>
      <w:r w:rsidDel="00000000" w:rsidR="00000000" w:rsidRPr="00000000">
        <w:rPr>
          <w:b w:val="1"/>
          <w:rtl w:val="0"/>
        </w:rPr>
        <w:t xml:space="preserve">Carbon Pricing (EU ETS, EU ETS 2, CBAM)</w:t>
      </w:r>
    </w:p>
    <w:p w:rsidR="00000000" w:rsidDel="00000000" w:rsidP="00000000" w:rsidRDefault="00000000" w:rsidRPr="00000000" w14:paraId="00000060">
      <w:pPr>
        <w:jc w:val="both"/>
        <w:rPr>
          <w:b w:val="1"/>
        </w:rPr>
      </w:pPr>
      <w:r w:rsidDel="00000000" w:rsidR="00000000" w:rsidRPr="00000000">
        <w:rPr>
          <w:rtl w:val="0"/>
        </w:rPr>
      </w:r>
    </w:p>
    <w:p w:rsidR="00000000" w:rsidDel="00000000" w:rsidP="00000000" w:rsidRDefault="00000000" w:rsidRPr="00000000" w14:paraId="00000061">
      <w:pPr>
        <w:jc w:val="both"/>
        <w:rPr/>
      </w:pPr>
      <w:r w:rsidDel="00000000" w:rsidR="00000000" w:rsidRPr="00000000">
        <w:rPr>
          <w:rtl w:val="0"/>
        </w:rPr>
        <w:t xml:space="preserve">Putting a price on carbon emissions is and was the cornerstone of the EU climate policy, since the establishment of the EU Emissions Trading System (EU ETS)</w:t>
      </w:r>
      <w:r w:rsidDel="00000000" w:rsidR="00000000" w:rsidRPr="00000000">
        <w:rPr>
          <w:vertAlign w:val="superscript"/>
        </w:rPr>
        <w:footnoteReference w:customMarkFollows="0" w:id="3"/>
      </w:r>
      <w:r w:rsidDel="00000000" w:rsidR="00000000" w:rsidRPr="00000000">
        <w:rPr>
          <w:rtl w:val="0"/>
        </w:rPr>
        <w:t xml:space="preserve"> in 2005. The EU ETS is a regulatory market that puts a price on carbon emissions, by obliging polluters of certain sectors to pay in order to be allowed to emit GHG emissions. The EU is setting the cap of the total emission allowances that are circulated each year in the EU ETS market, and then the price is set by the market based on the rules of supply and demand. To achieve the emission reduction target that is set, each year the cap (which is the total available emission allowances) decreases, to ensure emissions are reduced. Prior to the fit for 55 legislative package, EU ETS covered the sectors of power production, energy-intensive industry and aviation. It was successful overall (despite some setbacks), especially in the sector of power production, and as a result, the EU-ETS played a significant role in the emission reduction that was successful.</w:t>
      </w:r>
    </w:p>
    <w:p w:rsidR="00000000" w:rsidDel="00000000" w:rsidP="00000000" w:rsidRDefault="00000000" w:rsidRPr="00000000" w14:paraId="00000062">
      <w:pPr>
        <w:jc w:val="both"/>
        <w:rPr/>
      </w:pPr>
      <w:r w:rsidDel="00000000" w:rsidR="00000000" w:rsidRPr="00000000">
        <w:rPr>
          <w:rtl w:val="0"/>
        </w:rPr>
      </w:r>
    </w:p>
    <w:p w:rsidR="00000000" w:rsidDel="00000000" w:rsidP="00000000" w:rsidRDefault="00000000" w:rsidRPr="00000000" w14:paraId="00000063">
      <w:pPr>
        <w:jc w:val="both"/>
        <w:rPr/>
      </w:pPr>
      <w:r w:rsidDel="00000000" w:rsidR="00000000" w:rsidRPr="00000000">
        <w:rPr>
          <w:rtl w:val="0"/>
        </w:rPr>
        <w:t xml:space="preserve">For that reason, with the fit for 55 package, it was decided that the EU ETS will be strengthened and extended to new sectors. </w:t>
      </w:r>
    </w:p>
    <w:p w:rsidR="00000000" w:rsidDel="00000000" w:rsidP="00000000" w:rsidRDefault="00000000" w:rsidRPr="00000000" w14:paraId="00000064">
      <w:pPr>
        <w:jc w:val="both"/>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emission reduction target for ETS sectors was raised from 43% to 62% by 2030 (compared to 2005).</w:t>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annual cap reduction rate increased from 2.2% to 4.3% (until 2027) and 4.4% (from 2028).</w:t>
      </w:r>
    </w:p>
    <w:p w:rsidR="00000000" w:rsidDel="00000000" w:rsidP="00000000" w:rsidRDefault="00000000" w:rsidRPr="00000000" w14:paraId="000000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Free emission allowances for industry and aviation were scheduled to phase out faster.</w:t>
      </w:r>
    </w:p>
    <w:p w:rsidR="00000000" w:rsidDel="00000000" w:rsidP="00000000" w:rsidRDefault="00000000" w:rsidRPr="00000000" w14:paraId="0000006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New sectors were added to the ETS, including:</w:t>
      </w:r>
    </w:p>
    <w:p w:rsidR="00000000" w:rsidDel="00000000" w:rsidP="00000000" w:rsidRDefault="00000000" w:rsidRPr="00000000" w14:paraId="0000006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Maritime transport (from 2027).</w:t>
      </w:r>
    </w:p>
    <w:p w:rsidR="00000000" w:rsidDel="00000000" w:rsidP="00000000" w:rsidRDefault="00000000" w:rsidRPr="00000000" w14:paraId="0000006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Buildings and road transport, which will have a separate market called ETS 2, launching in 2027.</w:t>
      </w:r>
    </w:p>
    <w:p w:rsidR="00000000" w:rsidDel="00000000" w:rsidP="00000000" w:rsidRDefault="00000000" w:rsidRPr="00000000" w14:paraId="0000006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r>
    </w:p>
    <w:p w:rsidR="00000000" w:rsidDel="00000000" w:rsidP="00000000" w:rsidRDefault="00000000" w:rsidRPr="00000000" w14:paraId="0000006C">
      <w:pPr>
        <w:jc w:val="both"/>
        <w:rPr/>
      </w:pPr>
      <w:r w:rsidDel="00000000" w:rsidR="00000000" w:rsidRPr="00000000">
        <w:rPr>
          <w:rtl w:val="0"/>
        </w:rPr>
      </w:r>
    </w:p>
    <w:p w:rsidR="00000000" w:rsidDel="00000000" w:rsidP="00000000" w:rsidRDefault="00000000" w:rsidRPr="00000000" w14:paraId="0000006D">
      <w:pPr>
        <w:jc w:val="both"/>
        <w:rPr/>
      </w:pPr>
      <w:r w:rsidDel="00000000" w:rsidR="00000000" w:rsidRPr="00000000">
        <w:rPr>
          <w:rtl w:val="0"/>
        </w:rPr>
        <w:t xml:space="preserve">Finally, a new carbon pricing method is introduced. The Carbon Border Adjustment Mechanism (CBAM) is a new system that puts a price on carbon of import goods of certain sectors. Specifically, it covers cement, iron &amp; steel, aluminum, fertilizers, electricity and hydrogen. The importers must report the embedded carbon emissions in the imported goods and purchase CBAM certificates that correspond to the carbon price of the EU ETS. Until 2025 is the reporting period and from 2026 until 2034 it is introduced gradually. The main goal of the mechanism is the prevention of carbon leakage, meaning the threat that industries in the EU will relocate in third countries due to the increased carbon cost. At the same time, it’s the first legislation of the EU that encourages climate action outside the EU, through financial incentives. For that same reason, it creates tension with non- EU countries, increasing the threat of trade conflicts.</w:t>
      </w:r>
    </w:p>
    <w:p w:rsidR="00000000" w:rsidDel="00000000" w:rsidP="00000000" w:rsidRDefault="00000000" w:rsidRPr="00000000" w14:paraId="0000006E">
      <w:pPr>
        <w:jc w:val="both"/>
        <w:rPr/>
      </w:pPr>
      <w:r w:rsidDel="00000000" w:rsidR="00000000" w:rsidRPr="00000000">
        <w:rPr>
          <w:rtl w:val="0"/>
        </w:rPr>
      </w:r>
    </w:p>
    <w:p w:rsidR="00000000" w:rsidDel="00000000" w:rsidP="00000000" w:rsidRDefault="00000000" w:rsidRPr="00000000" w14:paraId="0000006F">
      <w:pPr>
        <w:jc w:val="both"/>
        <w:rPr>
          <w:b w:val="1"/>
        </w:rPr>
      </w:pPr>
      <w:r w:rsidDel="00000000" w:rsidR="00000000" w:rsidRPr="00000000">
        <w:rPr>
          <w:b w:val="1"/>
          <w:rtl w:val="0"/>
        </w:rPr>
        <w:t xml:space="preserve">Renewable energy and Energy Efficiency</w:t>
      </w:r>
    </w:p>
    <w:p w:rsidR="00000000" w:rsidDel="00000000" w:rsidP="00000000" w:rsidRDefault="00000000" w:rsidRPr="00000000" w14:paraId="00000070">
      <w:pPr>
        <w:jc w:val="both"/>
        <w:rPr>
          <w:b w:val="1"/>
        </w:rPr>
      </w:pPr>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t xml:space="preserve">Recognizing the key role of renewables and energy efficiency in reducing fossil fuel dependence and emissions, the EU significantly increased its targets:</w:t>
      </w:r>
    </w:p>
    <w:p w:rsidR="00000000" w:rsidDel="00000000" w:rsidP="00000000" w:rsidRDefault="00000000" w:rsidRPr="00000000" w14:paraId="00000072">
      <w:pPr>
        <w:jc w:val="both"/>
        <w:rPr/>
      </w:pPr>
      <w:r w:rsidDel="00000000" w:rsidR="00000000" w:rsidRPr="00000000">
        <w:rPr>
          <w:rtl w:val="0"/>
        </w:rPr>
      </w:r>
    </w:p>
    <w:p w:rsidR="00000000" w:rsidDel="00000000" w:rsidP="00000000" w:rsidRDefault="00000000" w:rsidRPr="00000000" w14:paraId="00000073">
      <w:pPr>
        <w:jc w:val="both"/>
        <w:rPr/>
      </w:pPr>
      <w:r w:rsidDel="00000000" w:rsidR="00000000" w:rsidRPr="00000000">
        <w:rPr>
          <w:rtl w:val="0"/>
        </w:rPr>
        <w:t xml:space="preserve">With the amendment of the Renewable Energy Directive (III)</w:t>
      </w:r>
      <w:r w:rsidDel="00000000" w:rsidR="00000000" w:rsidRPr="00000000">
        <w:rPr>
          <w:vertAlign w:val="superscript"/>
        </w:rPr>
        <w:footnoteReference w:customMarkFollows="0" w:id="4"/>
      </w:r>
      <w:r w:rsidDel="00000000" w:rsidR="00000000" w:rsidRPr="00000000">
        <w:rPr>
          <w:rtl w:val="0"/>
        </w:rPr>
        <w:t xml:space="preserve">, the renewable energy target has been updated to 42.5% renewable energy in 2030, significantly increased from the 32% previous target. With this new legislation that went into force in November, 2023, the EU member states are called to significantly increase the penetration of renewables in their energy consumption since they need to almost double their share (at least 42.5% from 24.5% in 2023) in only 7 years.</w:t>
      </w:r>
    </w:p>
    <w:p w:rsidR="00000000" w:rsidDel="00000000" w:rsidP="00000000" w:rsidRDefault="00000000" w:rsidRPr="00000000" w14:paraId="00000074">
      <w:pPr>
        <w:jc w:val="both"/>
        <w:rPr/>
      </w:pP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t xml:space="preserve">Along with the renewables target, the EU significantly raised its ambition on energy efficiency</w:t>
      </w:r>
      <w:r w:rsidDel="00000000" w:rsidR="00000000" w:rsidRPr="00000000">
        <w:rPr>
          <w:vertAlign w:val="superscript"/>
        </w:rPr>
        <w:footnoteReference w:customMarkFollows="0" w:id="5"/>
      </w:r>
      <w:r w:rsidDel="00000000" w:rsidR="00000000" w:rsidRPr="00000000">
        <w:rPr>
          <w:rtl w:val="0"/>
        </w:rPr>
        <w:t xml:space="preserve">, aiming to achieve 11.7% reduction in its final energy consumption by 2030 compared to the projections of the expected energy use for 2030. The EU also introduced the “energy efficiency first” principle. According to the principle, energy efficiency needs to be considered in every relevant policy and major investment decisions across all member states in the EU – regardless whether it’s in the energy sector or not.</w:t>
      </w:r>
    </w:p>
    <w:p w:rsidR="00000000" w:rsidDel="00000000" w:rsidP="00000000" w:rsidRDefault="00000000" w:rsidRPr="00000000" w14:paraId="00000076">
      <w:pPr>
        <w:jc w:val="both"/>
        <w:rPr/>
      </w:pPr>
      <w:r w:rsidDel="00000000" w:rsidR="00000000" w:rsidRPr="00000000">
        <w:rPr>
          <w:rtl w:val="0"/>
        </w:rPr>
      </w:r>
    </w:p>
    <w:p w:rsidR="00000000" w:rsidDel="00000000" w:rsidP="00000000" w:rsidRDefault="00000000" w:rsidRPr="00000000" w14:paraId="00000077">
      <w:pPr>
        <w:jc w:val="both"/>
        <w:rPr/>
      </w:pPr>
      <w:r w:rsidDel="00000000" w:rsidR="00000000" w:rsidRPr="00000000">
        <w:rPr>
          <w:rtl w:val="0"/>
        </w:rPr>
        <w:t xml:space="preserve">Following the new set of targets of the fit for 55 package, all EU member states need to update their National Energy and Climate Plans (NECPs) to reflect the higher ambition.</w:t>
      </w:r>
    </w:p>
    <w:p w:rsidR="00000000" w:rsidDel="00000000" w:rsidP="00000000" w:rsidRDefault="00000000" w:rsidRPr="00000000" w14:paraId="00000078">
      <w:pPr>
        <w:jc w:val="both"/>
        <w:rPr/>
      </w:pPr>
      <w:r w:rsidDel="00000000" w:rsidR="00000000" w:rsidRPr="00000000">
        <w:rPr>
          <w:rtl w:val="0"/>
        </w:rPr>
      </w:r>
    </w:p>
    <w:p w:rsidR="00000000" w:rsidDel="00000000" w:rsidP="00000000" w:rsidRDefault="00000000" w:rsidRPr="00000000" w14:paraId="00000079">
      <w:pPr>
        <w:jc w:val="both"/>
        <w:rPr>
          <w:b w:val="1"/>
        </w:rPr>
      </w:pPr>
      <w:r w:rsidDel="00000000" w:rsidR="00000000" w:rsidRPr="00000000">
        <w:rPr>
          <w:b w:val="1"/>
          <w:rtl w:val="0"/>
        </w:rPr>
        <w:t xml:space="preserve">Transportation</w:t>
      </w:r>
    </w:p>
    <w:p w:rsidR="00000000" w:rsidDel="00000000" w:rsidP="00000000" w:rsidRDefault="00000000" w:rsidRPr="00000000" w14:paraId="0000007A">
      <w:pPr>
        <w:jc w:val="both"/>
        <w:rPr>
          <w:b w:val="1"/>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rtl w:val="0"/>
        </w:rPr>
        <w:t xml:space="preserve">The transport sector accounts for around 25% of EUs emissions, making it a key sector for the decarbonization of the EU. Within this package the EU took a few initiatives aiming to decarbonize the sector, other than the introduction of the ETS 2 for building and road transport. These include: </w:t>
      </w:r>
    </w:p>
    <w:p w:rsidR="00000000" w:rsidDel="00000000" w:rsidP="00000000" w:rsidRDefault="00000000" w:rsidRPr="00000000" w14:paraId="0000007C">
      <w:pPr>
        <w:jc w:val="both"/>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target for a 100% CO2 reduction target for new cars and vans by 2035, meaning practically the phase out of internal combustion engine vehicles.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ReFuelEU Aviation &amp; FuelEU Maritime, promoting sustainable fuels in hard-to-abate transport sectors.</w:t>
      </w:r>
      <w:r w:rsidDel="00000000" w:rsidR="00000000" w:rsidRPr="00000000">
        <w:rPr>
          <w:rtl w:val="0"/>
        </w:rPr>
      </w:r>
    </w:p>
    <w:p w:rsidR="00000000" w:rsidDel="00000000" w:rsidP="00000000" w:rsidRDefault="00000000" w:rsidRPr="00000000" w14:paraId="00000080">
      <w:pPr>
        <w:jc w:val="both"/>
        <w:rPr>
          <w:b w:val="1"/>
        </w:rPr>
      </w:pPr>
      <w:r w:rsidDel="00000000" w:rsidR="00000000" w:rsidRPr="00000000">
        <w:rPr>
          <w:b w:val="1"/>
          <w:rtl w:val="0"/>
        </w:rPr>
        <w:t xml:space="preserve">Social fairness</w:t>
      </w:r>
    </w:p>
    <w:p w:rsidR="00000000" w:rsidDel="00000000" w:rsidP="00000000" w:rsidRDefault="00000000" w:rsidRPr="00000000" w14:paraId="00000081">
      <w:pPr>
        <w:jc w:val="both"/>
        <w:rPr>
          <w:b w:val="1"/>
        </w:rPr>
      </w:pPr>
      <w:r w:rsidDel="00000000" w:rsidR="00000000" w:rsidRPr="00000000">
        <w:rPr>
          <w:rtl w:val="0"/>
        </w:rPr>
      </w:r>
    </w:p>
    <w:p w:rsidR="00000000" w:rsidDel="00000000" w:rsidP="00000000" w:rsidRDefault="00000000" w:rsidRPr="00000000" w14:paraId="00000082">
      <w:pPr>
        <w:jc w:val="both"/>
        <w:rPr/>
      </w:pPr>
      <w:r w:rsidDel="00000000" w:rsidR="00000000" w:rsidRPr="00000000">
        <w:rPr>
          <w:rtl w:val="0"/>
        </w:rPr>
        <w:t xml:space="preserve">The EU is recognizing that the energy transition is affecting lower income groups disproportionately. Therefore, it takes measures aiming to ensure a just transition. Towards that goal is the Just Transition Mechanism, which was introduced as part of the European Green Deal. The Just Transition Mechanism aims to mitigate the worst impacts of the energy transition in the high carbon intensity regions of the EU. This is aimed to be achieved by mobilizing around 55 billion Euros over the period 2021-2027 in these regions.</w:t>
      </w:r>
    </w:p>
    <w:p w:rsidR="00000000" w:rsidDel="00000000" w:rsidP="00000000" w:rsidRDefault="00000000" w:rsidRPr="00000000" w14:paraId="00000083">
      <w:pPr>
        <w:jc w:val="both"/>
        <w:rPr/>
      </w:pPr>
      <w:r w:rsidDel="00000000" w:rsidR="00000000" w:rsidRPr="00000000">
        <w:rPr>
          <w:rtl w:val="0"/>
        </w:rPr>
      </w:r>
    </w:p>
    <w:p w:rsidR="00000000" w:rsidDel="00000000" w:rsidP="00000000" w:rsidRDefault="00000000" w:rsidRPr="00000000" w14:paraId="00000084">
      <w:pPr>
        <w:jc w:val="both"/>
        <w:rPr/>
      </w:pPr>
      <w:r w:rsidDel="00000000" w:rsidR="00000000" w:rsidRPr="00000000">
        <w:rPr>
          <w:rtl w:val="0"/>
        </w:rPr>
        <w:t xml:space="preserve">As the fit for 55 package introduces even more ambitious goals, it is expected that the impacts of the transition will be intensified. Therefore, the EU is now introducing more policies to compact foreseen issues. </w:t>
      </w:r>
    </w:p>
    <w:p w:rsidR="00000000" w:rsidDel="00000000" w:rsidP="00000000" w:rsidRDefault="00000000" w:rsidRPr="00000000" w14:paraId="00000085">
      <w:pPr>
        <w:jc w:val="both"/>
        <w:rPr/>
      </w:pPr>
      <w:r w:rsidDel="00000000" w:rsidR="00000000" w:rsidRPr="00000000">
        <w:rPr>
          <w:rtl w:val="0"/>
        </w:rPr>
      </w:r>
    </w:p>
    <w:p w:rsidR="00000000" w:rsidDel="00000000" w:rsidP="00000000" w:rsidRDefault="00000000" w:rsidRPr="00000000" w14:paraId="00000086">
      <w:pPr>
        <w:jc w:val="both"/>
        <w:rPr/>
      </w:pPr>
      <w:r w:rsidDel="00000000" w:rsidR="00000000" w:rsidRPr="00000000">
        <w:rPr>
          <w:rtl w:val="0"/>
        </w:rPr>
        <w:t xml:space="preserve">The main tool towards this direction is the Social Climate Fund (SCF). The SCF was introduced along with the ETS2 for building and transport and aims to mitigate the impacts of the rising costs due to carbon pricing to vulnerable groups. The member states will be able to use the SCF to finance a pool of different measures, namely structural measures and investments in energy efficiency and renovation of buildings, clean heating and cooling, integration of renewable energy and zero or low emission mobility. Moreover, there will be an option for direct income support. The SCF will gather revenues mainly from the ETS2 and EU ETS, including a 25% contribution from the member states. The total amount expected to be gathered will be at least 86.7 billion Euros.</w:t>
      </w:r>
    </w:p>
    <w:p w:rsidR="00000000" w:rsidDel="00000000" w:rsidP="00000000" w:rsidRDefault="00000000" w:rsidRPr="00000000" w14:paraId="00000087">
      <w:pPr>
        <w:jc w:val="both"/>
        <w:rPr/>
      </w:pPr>
      <w:r w:rsidDel="00000000" w:rsidR="00000000" w:rsidRPr="00000000">
        <w:rPr>
          <w:rtl w:val="0"/>
        </w:rPr>
      </w:r>
    </w:p>
    <w:p w:rsidR="00000000" w:rsidDel="00000000" w:rsidP="00000000" w:rsidRDefault="00000000" w:rsidRPr="00000000" w14:paraId="00000088">
      <w:pPr>
        <w:jc w:val="both"/>
        <w:rPr>
          <w:b w:val="1"/>
        </w:rPr>
      </w:pPr>
      <w:r w:rsidDel="00000000" w:rsidR="00000000" w:rsidRPr="00000000">
        <w:rPr>
          <w:b w:val="1"/>
          <w:rtl w:val="0"/>
        </w:rPr>
        <w:t xml:space="preserve">Land Use, Land Use Change, and Forestry</w:t>
      </w:r>
    </w:p>
    <w:p w:rsidR="00000000" w:rsidDel="00000000" w:rsidP="00000000" w:rsidRDefault="00000000" w:rsidRPr="00000000" w14:paraId="00000089">
      <w:pPr>
        <w:jc w:val="both"/>
        <w:rPr>
          <w:b w:val="1"/>
        </w:rPr>
      </w:pPr>
      <w:r w:rsidDel="00000000" w:rsidR="00000000" w:rsidRPr="00000000">
        <w:rPr>
          <w:rtl w:val="0"/>
        </w:rPr>
      </w:r>
    </w:p>
    <w:p w:rsidR="00000000" w:rsidDel="00000000" w:rsidP="00000000" w:rsidRDefault="00000000" w:rsidRPr="00000000" w14:paraId="0000008A">
      <w:pPr>
        <w:jc w:val="both"/>
        <w:rPr/>
      </w:pPr>
      <w:r w:rsidDel="00000000" w:rsidR="00000000" w:rsidRPr="00000000">
        <w:rPr>
          <w:rtl w:val="0"/>
        </w:rPr>
        <w:t xml:space="preserve">A sector that is expected to play a significant role in reaching EU’s goals on emission reductions is Land Use, Land Use Change, and Forestry (LULUCF). LULUCF is the climate sector that covers how land and forests are managed and how they contribute to carbon emissions and removals. LULUCF can act as a carbon sink, having in essence negative emissions, absorbing CO2 from the atmosphere from forests and soils, but can also release GHG emissions due to deforestation, land conversion and poor land management.</w:t>
      </w:r>
    </w:p>
    <w:p w:rsidR="00000000" w:rsidDel="00000000" w:rsidP="00000000" w:rsidRDefault="00000000" w:rsidRPr="00000000" w14:paraId="0000008B">
      <w:pPr>
        <w:jc w:val="both"/>
        <w:rPr/>
      </w:pPr>
      <w:r w:rsidDel="00000000" w:rsidR="00000000" w:rsidRPr="00000000">
        <w:rPr>
          <w:rtl w:val="0"/>
        </w:rPr>
      </w:r>
    </w:p>
    <w:p w:rsidR="00000000" w:rsidDel="00000000" w:rsidP="00000000" w:rsidRDefault="00000000" w:rsidRPr="00000000" w14:paraId="0000008C">
      <w:pPr>
        <w:jc w:val="both"/>
        <w:rPr/>
      </w:pPr>
      <w:r w:rsidDel="00000000" w:rsidR="00000000" w:rsidRPr="00000000">
        <w:rPr>
          <w:rtl w:val="0"/>
        </w:rPr>
        <w:t xml:space="preserve">The EU with the fit for 55 package, set a very ambitious target for carbon removals from LULUCF at 310Mt CO2eq removals by 2030. This means that the EU needs to increase the LULUCF removals by 42 MtCO2eq by 2030</w:t>
      </w:r>
      <w:r w:rsidDel="00000000" w:rsidR="00000000" w:rsidRPr="00000000">
        <w:rPr>
          <w:vertAlign w:val="superscript"/>
        </w:rPr>
        <w:footnoteReference w:customMarkFollows="0" w:id="6"/>
      </w:r>
      <w:r w:rsidDel="00000000" w:rsidR="00000000" w:rsidRPr="00000000">
        <w:rPr>
          <w:rtl w:val="0"/>
        </w:rPr>
        <w:t xml:space="preserve">, since the net carbon removals in 2024 were 274MtCO2eq. The challenge of achieving these additional removals is significant, as the EU is currently moving in the opposite direction, with carbon removals on the decline.</w:t>
      </w:r>
    </w:p>
    <w:p w:rsidR="00000000" w:rsidDel="00000000" w:rsidP="00000000" w:rsidRDefault="00000000" w:rsidRPr="00000000" w14:paraId="0000008D">
      <w:pPr>
        <w:jc w:val="both"/>
        <w:rPr/>
      </w:pPr>
      <w:r w:rsidDel="00000000" w:rsidR="00000000" w:rsidRPr="00000000">
        <w:rPr>
          <w:rtl w:val="0"/>
        </w:rPr>
      </w:r>
    </w:p>
    <w:p w:rsidR="00000000" w:rsidDel="00000000" w:rsidP="00000000" w:rsidRDefault="00000000" w:rsidRPr="00000000" w14:paraId="0000008E">
      <w:pPr>
        <w:jc w:val="both"/>
        <w:rPr>
          <w:b w:val="1"/>
        </w:rPr>
      </w:pPr>
      <w:r w:rsidDel="00000000" w:rsidR="00000000" w:rsidRPr="00000000">
        <w:rPr>
          <w:b w:val="1"/>
          <w:rtl w:val="0"/>
        </w:rPr>
        <w:t xml:space="preserve">Overall Targets</w:t>
      </w:r>
    </w:p>
    <w:p w:rsidR="00000000" w:rsidDel="00000000" w:rsidP="00000000" w:rsidRDefault="00000000" w:rsidRPr="00000000" w14:paraId="0000008F">
      <w:pPr>
        <w:jc w:val="both"/>
        <w:rPr/>
      </w:pPr>
      <w:r w:rsidDel="00000000" w:rsidR="00000000" w:rsidRPr="00000000">
        <w:rPr>
          <w:rtl w:val="0"/>
        </w:rPr>
      </w:r>
    </w:p>
    <w:p w:rsidR="00000000" w:rsidDel="00000000" w:rsidP="00000000" w:rsidRDefault="00000000" w:rsidRPr="00000000" w14:paraId="00000090">
      <w:pPr>
        <w:jc w:val="both"/>
        <w:rPr/>
      </w:pPr>
      <w:r w:rsidDel="00000000" w:rsidR="00000000" w:rsidRPr="00000000">
        <w:rPr>
          <w:rtl w:val="0"/>
        </w:rPr>
      </w:r>
    </w:p>
    <w:p w:rsidR="00000000" w:rsidDel="00000000" w:rsidP="00000000" w:rsidRDefault="00000000" w:rsidRPr="00000000" w14:paraId="00000091">
      <w:pPr>
        <w:jc w:val="both"/>
        <w:rPr/>
      </w:pPr>
      <w:r w:rsidDel="00000000" w:rsidR="00000000" w:rsidRPr="00000000">
        <w:rPr>
          <w:rtl w:val="0"/>
        </w:rPr>
        <w:t xml:space="preserve">Overall, to reach the target of 55% emission reduction by 2030 compared to 1990, the EU needs to reach separate goals in every sector. To ensure that all the emissions are taken into account, the EU separates the emissions by those covered by the EU ETS and those that don’t. </w:t>
      </w:r>
    </w:p>
    <w:p w:rsidR="00000000" w:rsidDel="00000000" w:rsidP="00000000" w:rsidRDefault="00000000" w:rsidRPr="00000000" w14:paraId="00000092">
      <w:pPr>
        <w:jc w:val="both"/>
        <w:rPr/>
      </w:pPr>
      <w:r w:rsidDel="00000000" w:rsidR="00000000" w:rsidRPr="00000000">
        <w:rPr>
          <w:rtl w:val="0"/>
        </w:rPr>
      </w:r>
    </w:p>
    <w:p w:rsidR="00000000" w:rsidDel="00000000" w:rsidP="00000000" w:rsidRDefault="00000000" w:rsidRPr="00000000" w14:paraId="00000093">
      <w:pPr>
        <w:jc w:val="both"/>
        <w:rPr/>
      </w:pPr>
      <w:r w:rsidDel="00000000" w:rsidR="00000000" w:rsidRPr="00000000">
        <w:rPr>
          <w:rtl w:val="0"/>
        </w:rPr>
        <w:t xml:space="preserve">The emissions that are not covered by the ETS are covered by the Effort Sharing Regulation (ESR). Contrary to the EU ETS, the ESR does not ensure that the emissions will be reduced but sets binding targets for each member state to succeed in the sectors covered by the ESR. The contribution of each member state is based on its ability to reduce its emissions (mainly economic performance), meaning wealthier nations will need to make higher reductions. Since the emission reductions are binding for each member state, they need to be reflected in the NECP of each state.</w:t>
      </w:r>
    </w:p>
    <w:p w:rsidR="00000000" w:rsidDel="00000000" w:rsidP="00000000" w:rsidRDefault="00000000" w:rsidRPr="00000000" w14:paraId="00000094">
      <w:pPr>
        <w:jc w:val="both"/>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rtl w:val="0"/>
        </w:rPr>
        <w:t xml:space="preserve">Following, there is a table showing each framework the EU uses to categorize its emissions, the sectors that are covered per framework and the respective emission reduction targets that collectively amount to the total 55% reduction. </w:t>
      </w:r>
    </w:p>
    <w:p w:rsidR="00000000" w:rsidDel="00000000" w:rsidP="00000000" w:rsidRDefault="00000000" w:rsidRPr="00000000" w14:paraId="00000096">
      <w:pPr>
        <w:jc w:val="both"/>
        <w:rPr/>
      </w:pPr>
      <w:r w:rsidDel="00000000" w:rsidR="00000000" w:rsidRPr="00000000">
        <w:rPr>
          <w:rtl w:val="0"/>
        </w:rPr>
      </w:r>
    </w:p>
    <w:tbl>
      <w:tblPr>
        <w:tblStyle w:val="Table1"/>
        <w:tblW w:w="84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2974"/>
        <w:gridCol w:w="2832"/>
        <w:tblGridChange w:id="0">
          <w:tblGrid>
            <w:gridCol w:w="2689"/>
            <w:gridCol w:w="2974"/>
            <w:gridCol w:w="2832"/>
          </w:tblGrid>
        </w:tblGridChange>
      </w:tblGrid>
      <w:tr>
        <w:trPr>
          <w:cantSplit w:val="0"/>
          <w:tblHeader w:val="0"/>
        </w:trPr>
        <w:tc>
          <w:tcPr>
            <w:vAlign w:val="center"/>
          </w:tcPr>
          <w:p w:rsidR="00000000" w:rsidDel="00000000" w:rsidP="00000000" w:rsidRDefault="00000000" w:rsidRPr="00000000" w14:paraId="00000097">
            <w:pPr>
              <w:jc w:val="center"/>
              <w:rPr>
                <w:b w:val="1"/>
              </w:rPr>
            </w:pPr>
            <w:r w:rsidDel="00000000" w:rsidR="00000000" w:rsidRPr="00000000">
              <w:rPr>
                <w:b w:val="1"/>
                <w:rtl w:val="0"/>
              </w:rPr>
              <w:t xml:space="preserve">EU ETS</w:t>
            </w:r>
          </w:p>
        </w:tc>
        <w:tc>
          <w:tcPr>
            <w:vAlign w:val="center"/>
          </w:tcPr>
          <w:p w:rsidR="00000000" w:rsidDel="00000000" w:rsidP="00000000" w:rsidRDefault="00000000" w:rsidRPr="00000000" w14:paraId="00000098">
            <w:pPr>
              <w:jc w:val="center"/>
              <w:rPr>
                <w:b w:val="1"/>
              </w:rPr>
            </w:pPr>
            <w:r w:rsidDel="00000000" w:rsidR="00000000" w:rsidRPr="00000000">
              <w:rPr>
                <w:b w:val="1"/>
                <w:rtl w:val="0"/>
              </w:rPr>
              <w:t xml:space="preserve">ETS2 (starting in 2027)</w:t>
            </w:r>
          </w:p>
        </w:tc>
        <w:tc>
          <w:tcPr>
            <w:vAlign w:val="center"/>
          </w:tcPr>
          <w:p w:rsidR="00000000" w:rsidDel="00000000" w:rsidP="00000000" w:rsidRDefault="00000000" w:rsidRPr="00000000" w14:paraId="00000099">
            <w:pPr>
              <w:jc w:val="center"/>
              <w:rPr>
                <w:b w:val="1"/>
              </w:rPr>
            </w:pPr>
            <w:r w:rsidDel="00000000" w:rsidR="00000000" w:rsidRPr="00000000">
              <w:rPr>
                <w:b w:val="1"/>
                <w:rtl w:val="0"/>
              </w:rPr>
              <w:t xml:space="preserve">ESR</w:t>
            </w:r>
          </w:p>
        </w:tc>
      </w:tr>
      <w:tr>
        <w:trPr>
          <w:cantSplit w:val="0"/>
          <w:tblHeader w:val="0"/>
        </w:trPr>
        <w:tc>
          <w:tcPr>
            <w:vAlign w:val="center"/>
          </w:tcPr>
          <w:p w:rsidR="00000000" w:rsidDel="00000000" w:rsidP="00000000" w:rsidRDefault="00000000" w:rsidRPr="00000000" w14:paraId="0000009A">
            <w:pPr>
              <w:jc w:val="center"/>
              <w:rPr/>
            </w:pPr>
            <w:r w:rsidDel="00000000" w:rsidR="00000000" w:rsidRPr="00000000">
              <w:rPr>
                <w:rtl w:val="0"/>
              </w:rPr>
              <w:t xml:space="preserve">Power Production</w:t>
            </w:r>
          </w:p>
          <w:p w:rsidR="00000000" w:rsidDel="00000000" w:rsidP="00000000" w:rsidRDefault="00000000" w:rsidRPr="00000000" w14:paraId="0000009B">
            <w:pPr>
              <w:jc w:val="center"/>
              <w:rPr/>
            </w:pPr>
            <w:r w:rsidDel="00000000" w:rsidR="00000000" w:rsidRPr="00000000">
              <w:rPr>
                <w:rtl w:val="0"/>
              </w:rPr>
              <w:t xml:space="preserve">Energy Intensive Industry</w:t>
            </w:r>
          </w:p>
          <w:p w:rsidR="00000000" w:rsidDel="00000000" w:rsidP="00000000" w:rsidRDefault="00000000" w:rsidRPr="00000000" w14:paraId="0000009C">
            <w:pPr>
              <w:jc w:val="center"/>
              <w:rPr/>
            </w:pPr>
            <w:r w:rsidDel="00000000" w:rsidR="00000000" w:rsidRPr="00000000">
              <w:rPr>
                <w:rtl w:val="0"/>
              </w:rPr>
              <w:t xml:space="preserve">Aviation</w:t>
            </w:r>
          </w:p>
          <w:p w:rsidR="00000000" w:rsidDel="00000000" w:rsidP="00000000" w:rsidRDefault="00000000" w:rsidRPr="00000000" w14:paraId="0000009D">
            <w:pPr>
              <w:jc w:val="center"/>
              <w:rPr/>
            </w:pPr>
            <w:r w:rsidDel="00000000" w:rsidR="00000000" w:rsidRPr="00000000">
              <w:rPr>
                <w:rtl w:val="0"/>
              </w:rPr>
              <w:t xml:space="preserve">Maritime Transport (from 2027)</w:t>
            </w:r>
          </w:p>
        </w:tc>
        <w:tc>
          <w:tcPr>
            <w:vAlign w:val="center"/>
          </w:tcPr>
          <w:p w:rsidR="00000000" w:rsidDel="00000000" w:rsidP="00000000" w:rsidRDefault="00000000" w:rsidRPr="00000000" w14:paraId="0000009E">
            <w:pPr>
              <w:jc w:val="center"/>
              <w:rPr/>
            </w:pPr>
            <w:r w:rsidDel="00000000" w:rsidR="00000000" w:rsidRPr="00000000">
              <w:rPr>
                <w:rtl w:val="0"/>
              </w:rPr>
              <w:t xml:space="preserve">Buildings</w:t>
            </w:r>
          </w:p>
          <w:p w:rsidR="00000000" w:rsidDel="00000000" w:rsidP="00000000" w:rsidRDefault="00000000" w:rsidRPr="00000000" w14:paraId="0000009F">
            <w:pPr>
              <w:jc w:val="center"/>
              <w:rPr/>
            </w:pPr>
            <w:r w:rsidDel="00000000" w:rsidR="00000000" w:rsidRPr="00000000">
              <w:rPr>
                <w:rtl w:val="0"/>
              </w:rPr>
              <w:t xml:space="preserve">Road Transport</w:t>
            </w:r>
          </w:p>
        </w:tc>
        <w:tc>
          <w:tcPr>
            <w:vAlign w:val="center"/>
          </w:tcPr>
          <w:p w:rsidR="00000000" w:rsidDel="00000000" w:rsidP="00000000" w:rsidRDefault="00000000" w:rsidRPr="00000000" w14:paraId="000000A0">
            <w:pPr>
              <w:jc w:val="center"/>
              <w:rPr/>
            </w:pPr>
            <w:r w:rsidDel="00000000" w:rsidR="00000000" w:rsidRPr="00000000">
              <w:rPr>
                <w:rtl w:val="0"/>
              </w:rPr>
              <w:t xml:space="preserve">Agriculture</w:t>
            </w:r>
          </w:p>
          <w:p w:rsidR="00000000" w:rsidDel="00000000" w:rsidP="00000000" w:rsidRDefault="00000000" w:rsidRPr="00000000" w14:paraId="000000A1">
            <w:pPr>
              <w:jc w:val="center"/>
              <w:rPr/>
            </w:pPr>
            <w:r w:rsidDel="00000000" w:rsidR="00000000" w:rsidRPr="00000000">
              <w:rPr>
                <w:rtl w:val="0"/>
              </w:rPr>
              <w:t xml:space="preserve">Waste</w:t>
            </w:r>
          </w:p>
          <w:p w:rsidR="00000000" w:rsidDel="00000000" w:rsidP="00000000" w:rsidRDefault="00000000" w:rsidRPr="00000000" w14:paraId="000000A2">
            <w:pPr>
              <w:jc w:val="center"/>
              <w:rPr/>
            </w:pPr>
            <w:r w:rsidDel="00000000" w:rsidR="00000000" w:rsidRPr="00000000">
              <w:rPr>
                <w:rtl w:val="0"/>
              </w:rPr>
              <w:t xml:space="preserve">Other Non-ETS (small industry)</w:t>
            </w:r>
          </w:p>
        </w:tc>
      </w:tr>
      <w:tr>
        <w:trPr>
          <w:cantSplit w:val="0"/>
          <w:tblHeader w:val="0"/>
        </w:trPr>
        <w:tc>
          <w:tcPr>
            <w:vAlign w:val="center"/>
          </w:tcPr>
          <w:p w:rsidR="00000000" w:rsidDel="00000000" w:rsidP="00000000" w:rsidRDefault="00000000" w:rsidRPr="00000000" w14:paraId="000000A3">
            <w:pPr>
              <w:jc w:val="center"/>
              <w:rPr/>
            </w:pPr>
            <w:r w:rsidDel="00000000" w:rsidR="00000000" w:rsidRPr="00000000">
              <w:rPr>
                <w:rtl w:val="0"/>
              </w:rPr>
              <w:t xml:space="preserve">62% reduction by 2030 (compared to 2005)</w:t>
            </w:r>
          </w:p>
        </w:tc>
        <w:tc>
          <w:tcPr>
            <w:vAlign w:val="center"/>
          </w:tcPr>
          <w:p w:rsidR="00000000" w:rsidDel="00000000" w:rsidP="00000000" w:rsidRDefault="00000000" w:rsidRPr="00000000" w14:paraId="000000A4">
            <w:pPr>
              <w:jc w:val="center"/>
              <w:rPr/>
            </w:pPr>
            <w:r w:rsidDel="00000000" w:rsidR="00000000" w:rsidRPr="00000000">
              <w:rPr>
                <w:rtl w:val="0"/>
              </w:rPr>
              <w:t xml:space="preserve">43% reduction by 2030 (compared to 2005)</w:t>
            </w:r>
          </w:p>
        </w:tc>
        <w:tc>
          <w:tcPr>
            <w:vAlign w:val="center"/>
          </w:tcPr>
          <w:p w:rsidR="00000000" w:rsidDel="00000000" w:rsidP="00000000" w:rsidRDefault="00000000" w:rsidRPr="00000000" w14:paraId="000000A5">
            <w:pPr>
              <w:jc w:val="center"/>
              <w:rPr/>
            </w:pPr>
            <w:r w:rsidDel="00000000" w:rsidR="00000000" w:rsidRPr="00000000">
              <w:rPr>
                <w:rtl w:val="0"/>
              </w:rPr>
              <w:t xml:space="preserve">40% reduction (compared to 2005)</w:t>
            </w:r>
          </w:p>
        </w:tc>
      </w:tr>
    </w:tbl>
    <w:p w:rsidR="00000000" w:rsidDel="00000000" w:rsidP="00000000" w:rsidRDefault="00000000" w:rsidRPr="00000000" w14:paraId="000000A6">
      <w:pPr>
        <w:jc w:val="both"/>
        <w:rPr/>
      </w:pPr>
      <w:r w:rsidDel="00000000" w:rsidR="00000000" w:rsidRPr="00000000">
        <w:rPr>
          <w:rtl w:val="0"/>
        </w:rPr>
      </w:r>
    </w:p>
    <w:p w:rsidR="00000000" w:rsidDel="00000000" w:rsidP="00000000" w:rsidRDefault="00000000" w:rsidRPr="00000000" w14:paraId="000000A7">
      <w:pPr>
        <w:pStyle w:val="Heading2"/>
        <w:jc w:val="both"/>
        <w:rPr/>
      </w:pPr>
      <w:bookmarkStart w:colFirst="0" w:colLast="0" w:name="_heading=h.3dy6vkm" w:id="5"/>
      <w:bookmarkEnd w:id="5"/>
      <w:r w:rsidDel="00000000" w:rsidR="00000000" w:rsidRPr="00000000">
        <w:rPr>
          <w:rtl w:val="0"/>
        </w:rPr>
        <w:t xml:space="preserve">2.3 EU Adaptation Strategy </w:t>
      </w:r>
    </w:p>
    <w:p w:rsidR="00000000" w:rsidDel="00000000" w:rsidP="00000000" w:rsidRDefault="00000000" w:rsidRPr="00000000" w14:paraId="000000A8">
      <w:pPr>
        <w:jc w:val="both"/>
        <w:rPr/>
      </w:pPr>
      <w:r w:rsidDel="00000000" w:rsidR="00000000" w:rsidRPr="00000000">
        <w:rPr>
          <w:rtl w:val="0"/>
        </w:rPr>
        <w:t xml:space="preserve">The above actions of the EU are all targeted to mitigate the impacts of climate change, reducing the carbon emissions. The EU recognizes however that some of the impacts of climate change are unavoidable. For that reason, the EU updated its EU Strategy on Adaptation to Climate Change in 2021 as part of the EU Green Deal, to prepare for these unavoidable impacts.</w:t>
      </w:r>
    </w:p>
    <w:p w:rsidR="00000000" w:rsidDel="00000000" w:rsidP="00000000" w:rsidRDefault="00000000" w:rsidRPr="00000000" w14:paraId="000000A9">
      <w:pPr>
        <w:jc w:val="both"/>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rtl w:val="0"/>
        </w:rPr>
        <w:t xml:space="preserve">The aims</w:t>
      </w:r>
      <w:r w:rsidDel="00000000" w:rsidR="00000000" w:rsidRPr="00000000">
        <w:rPr>
          <w:vertAlign w:val="superscript"/>
        </w:rPr>
        <w:footnoteReference w:customMarkFollows="0" w:id="7"/>
      </w:r>
      <w:r w:rsidDel="00000000" w:rsidR="00000000" w:rsidRPr="00000000">
        <w:rPr>
          <w:rtl w:val="0"/>
        </w:rPr>
        <w:t xml:space="preserve"> of the latest EUs strategy on climate change adaptation are to:</w:t>
      </w:r>
    </w:p>
    <w:p w:rsidR="00000000" w:rsidDel="00000000" w:rsidP="00000000" w:rsidRDefault="00000000" w:rsidRPr="00000000" w14:paraId="000000AB">
      <w:pPr>
        <w:jc w:val="both"/>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Improve knowledge of climate impacts and solutions</w:t>
      </w:r>
    </w:p>
    <w:p w:rsidR="00000000" w:rsidDel="00000000" w:rsidP="00000000" w:rsidRDefault="00000000" w:rsidRPr="00000000" w14:paraId="000000A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Step up planning and climate risk assessment</w:t>
      </w:r>
    </w:p>
    <w:p w:rsidR="00000000" w:rsidDel="00000000" w:rsidP="00000000" w:rsidRDefault="00000000" w:rsidRPr="00000000" w14:paraId="000000A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Accelerate adaptation action</w:t>
      </w:r>
    </w:p>
    <w:p w:rsidR="00000000" w:rsidDel="00000000" w:rsidP="00000000" w:rsidRDefault="00000000" w:rsidRPr="00000000" w14:paraId="000000A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Build climate resilience globally</w:t>
      </w:r>
    </w:p>
    <w:p w:rsidR="00000000" w:rsidDel="00000000" w:rsidP="00000000" w:rsidRDefault="00000000" w:rsidRPr="00000000" w14:paraId="000000B0">
      <w:pPr>
        <w:jc w:val="both"/>
        <w:rPr/>
      </w:pPr>
      <w:r w:rsidDel="00000000" w:rsidR="00000000" w:rsidRPr="00000000">
        <w:rPr>
          <w:rtl w:val="0"/>
        </w:rPr>
      </w:r>
    </w:p>
    <w:p w:rsidR="00000000" w:rsidDel="00000000" w:rsidP="00000000" w:rsidRDefault="00000000" w:rsidRPr="00000000" w14:paraId="000000B1">
      <w:pPr>
        <w:jc w:val="both"/>
        <w:rPr/>
      </w:pPr>
      <w:r w:rsidDel="00000000" w:rsidR="00000000" w:rsidRPr="00000000">
        <w:rPr>
          <w:rtl w:val="0"/>
        </w:rPr>
        <w:t xml:space="preserve">To achieve these goals, the EU Adaptation Strategy emphasizes the need for smarter, swiffer, and more systemic adaptation. This involves enhancing data collection and dissemination through Climate-ADAPT, promoting nature-based solutions, and integrating climate considerations into key policy areas such as agriculture, water management, and infrastructure development.</w:t>
      </w:r>
    </w:p>
    <w:p w:rsidR="00000000" w:rsidDel="00000000" w:rsidP="00000000" w:rsidRDefault="00000000" w:rsidRPr="00000000" w14:paraId="000000B2">
      <w:pPr>
        <w:jc w:val="both"/>
        <w:rPr/>
      </w:pPr>
      <w:r w:rsidDel="00000000" w:rsidR="00000000" w:rsidRPr="00000000">
        <w:rPr>
          <w:rtl w:val="0"/>
        </w:rPr>
      </w:r>
    </w:p>
    <w:p w:rsidR="00000000" w:rsidDel="00000000" w:rsidP="00000000" w:rsidRDefault="00000000" w:rsidRPr="00000000" w14:paraId="000000B3">
      <w:pPr>
        <w:jc w:val="both"/>
        <w:rPr/>
      </w:pPr>
      <w:r w:rsidDel="00000000" w:rsidR="00000000" w:rsidRPr="00000000">
        <w:rPr>
          <w:rtl w:val="0"/>
        </w:rPr>
        <w:t xml:space="preserve">Furthermore, the strategy seeks to mobilize financial resources to support adaptation measures, leveraging EU funds such as the Recovery and Resilience Facility, the Cohesion Fund, and the Common Agricultural Policy. It also encourages private sector engagement in climate resilience efforts by improving access to risk data and promoting insurance solutions.</w:t>
      </w:r>
    </w:p>
    <w:p w:rsidR="00000000" w:rsidDel="00000000" w:rsidP="00000000" w:rsidRDefault="00000000" w:rsidRPr="00000000" w14:paraId="000000B4">
      <w:pPr>
        <w:jc w:val="both"/>
        <w:rPr/>
      </w:pPr>
      <w:r w:rsidDel="00000000" w:rsidR="00000000" w:rsidRPr="00000000">
        <w:rPr>
          <w:rtl w:val="0"/>
        </w:rPr>
      </w:r>
    </w:p>
    <w:p w:rsidR="00000000" w:rsidDel="00000000" w:rsidP="00000000" w:rsidRDefault="00000000" w:rsidRPr="00000000" w14:paraId="000000B5">
      <w:pPr>
        <w:jc w:val="both"/>
        <w:rPr/>
      </w:pPr>
      <w:r w:rsidDel="00000000" w:rsidR="00000000" w:rsidRPr="00000000">
        <w:rPr>
          <w:rtl w:val="0"/>
        </w:rPr>
        <w:t xml:space="preserve">At the international level, the EU aims to strengthen global climate resilience by supporting adaptation efforts in vulnerable regions, particularly in developing countries. This includes increasing financial contributions to international climate funds, fostering knowledge-sharing, and integrating adaptation into international partnerships and trade agreements.</w:t>
      </w:r>
    </w:p>
    <w:p w:rsidR="00000000" w:rsidDel="00000000" w:rsidP="00000000" w:rsidRDefault="00000000" w:rsidRPr="00000000" w14:paraId="000000B6">
      <w:pPr>
        <w:jc w:val="both"/>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rtl w:val="0"/>
        </w:rPr>
        <w:t xml:space="preserve">By implementing these measures, the EU seeks to minimize climate-related risks, protect communities and ecosystems, and ensure a more resilient and sustainable future for all.</w:t>
      </w:r>
    </w:p>
    <w:p w:rsidR="00000000" w:rsidDel="00000000" w:rsidP="00000000" w:rsidRDefault="00000000" w:rsidRPr="00000000" w14:paraId="000000B8">
      <w:pPr>
        <w:jc w:val="both"/>
        <w:rPr/>
      </w:pPr>
      <w:r w:rsidDel="00000000" w:rsidR="00000000" w:rsidRPr="00000000">
        <w:rPr>
          <w:rtl w:val="0"/>
        </w:rPr>
      </w:r>
    </w:p>
    <w:p w:rsidR="00000000" w:rsidDel="00000000" w:rsidP="00000000" w:rsidRDefault="00000000" w:rsidRPr="00000000" w14:paraId="000000B9">
      <w:pPr>
        <w:pStyle w:val="Heading2"/>
        <w:jc w:val="both"/>
        <w:rPr/>
      </w:pPr>
      <w:bookmarkStart w:colFirst="0" w:colLast="0" w:name="_heading=h.1t3h5sf" w:id="6"/>
      <w:bookmarkEnd w:id="6"/>
      <w:r w:rsidDel="00000000" w:rsidR="00000000" w:rsidRPr="00000000">
        <w:rPr>
          <w:rtl w:val="0"/>
        </w:rPr>
        <w:t xml:space="preserve">2.4 REPOWER EU</w:t>
      </w:r>
    </w:p>
    <w:p w:rsidR="00000000" w:rsidDel="00000000" w:rsidP="00000000" w:rsidRDefault="00000000" w:rsidRPr="00000000" w14:paraId="000000BA">
      <w:pPr>
        <w:jc w:val="both"/>
        <w:rPr/>
      </w:pPr>
      <w:r w:rsidDel="00000000" w:rsidR="00000000" w:rsidRPr="00000000">
        <w:rPr>
          <w:rtl w:val="0"/>
        </w:rPr>
        <w:t xml:space="preserve">As a response to the energy crisis due to Russia’s invasion of Ukraine, the EU introduced the REPowerEU plan in May 2022. The main focus of the plan was the reduction of the EU dependency on Russian fossil fuels, especially natural gas. To do that, the EU put forward a plan to </w:t>
      </w:r>
    </w:p>
    <w:p w:rsidR="00000000" w:rsidDel="00000000" w:rsidP="00000000" w:rsidRDefault="00000000" w:rsidRPr="00000000" w14:paraId="000000BB">
      <w:pPr>
        <w:jc w:val="both"/>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Diversify its supply on natural gas</w:t>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Save Energy (reduce gas consumption and overall energy consumption)</w:t>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Accelerate renewables deployment</w:t>
      </w:r>
    </w:p>
    <w:p w:rsidR="00000000" w:rsidDel="00000000" w:rsidP="00000000" w:rsidRDefault="00000000" w:rsidRPr="00000000" w14:paraId="000000BF">
      <w:pPr>
        <w:jc w:val="both"/>
        <w:rPr/>
      </w:pPr>
      <w:r w:rsidDel="00000000" w:rsidR="00000000" w:rsidRPr="00000000">
        <w:rPr>
          <w:rtl w:val="0"/>
        </w:rPr>
      </w:r>
    </w:p>
    <w:p w:rsidR="00000000" w:rsidDel="00000000" w:rsidP="00000000" w:rsidRDefault="00000000" w:rsidRPr="00000000" w14:paraId="000000C0">
      <w:pPr>
        <w:jc w:val="both"/>
        <w:rPr/>
      </w:pPr>
      <w:r w:rsidDel="00000000" w:rsidR="00000000" w:rsidRPr="00000000">
        <w:rPr>
          <w:rtl w:val="0"/>
        </w:rPr>
        <w:t xml:space="preserve">Other than the targets related only to the energy crisis and Russian gas, the REPowerEU plan worked complementary to the Fitfor55 package, even pushing for higher climate ambition especially in the fields of energy efficiency and renewable energy.</w:t>
      </w:r>
    </w:p>
    <w:p w:rsidR="00000000" w:rsidDel="00000000" w:rsidP="00000000" w:rsidRDefault="00000000" w:rsidRPr="00000000" w14:paraId="000000C1">
      <w:pPr>
        <w:jc w:val="both"/>
        <w:rPr/>
      </w:pPr>
      <w:r w:rsidDel="00000000" w:rsidR="00000000" w:rsidRPr="00000000">
        <w:rPr>
          <w:rtl w:val="0"/>
        </w:rPr>
      </w:r>
    </w:p>
    <w:p w:rsidR="00000000" w:rsidDel="00000000" w:rsidP="00000000" w:rsidRDefault="00000000" w:rsidRPr="00000000" w14:paraId="000000C2">
      <w:pPr>
        <w:pStyle w:val="Heading2"/>
        <w:jc w:val="both"/>
        <w:rPr/>
      </w:pPr>
      <w:bookmarkStart w:colFirst="0" w:colLast="0" w:name="_heading=h.4d34og8" w:id="7"/>
      <w:bookmarkEnd w:id="7"/>
      <w:r w:rsidDel="00000000" w:rsidR="00000000" w:rsidRPr="00000000">
        <w:rPr>
          <w:rtl w:val="0"/>
        </w:rPr>
        <w:t xml:space="preserve">2.5 Conclusion </w:t>
      </w:r>
    </w:p>
    <w:p w:rsidR="00000000" w:rsidDel="00000000" w:rsidP="00000000" w:rsidRDefault="00000000" w:rsidRPr="00000000" w14:paraId="000000C3">
      <w:pPr>
        <w:jc w:val="both"/>
        <w:rPr/>
      </w:pPr>
      <w:r w:rsidDel="00000000" w:rsidR="00000000" w:rsidRPr="00000000">
        <w:rPr>
          <w:rtl w:val="0"/>
        </w:rPr>
        <w:t xml:space="preserve">The Green Deal and the Fitfor55 that followed, largely set the direction that the EU needs to follow for a successful climate and energy transition. For a successful implementation though, the role of local government is paramount. Even though the major role in reducing emissions in each country is the central government’s, municipalities have a key role to play. Local government will be instrumental in delivering these ambitious targets particularly in sectors like transport, buildings and renewable deployment.</w:t>
      </w:r>
    </w:p>
    <w:p w:rsidR="00000000" w:rsidDel="00000000" w:rsidP="00000000" w:rsidRDefault="00000000" w:rsidRPr="00000000" w14:paraId="000000C4">
      <w:pPr>
        <w:jc w:val="both"/>
        <w:rPr/>
      </w:pPr>
      <w:r w:rsidDel="00000000" w:rsidR="00000000" w:rsidRPr="00000000">
        <w:rPr>
          <w:rtl w:val="0"/>
        </w:rPr>
      </w:r>
    </w:p>
    <w:p w:rsidR="00000000" w:rsidDel="00000000" w:rsidP="00000000" w:rsidRDefault="00000000" w:rsidRPr="00000000" w14:paraId="000000C5">
      <w:pPr>
        <w:jc w:val="both"/>
        <w:rPr/>
      </w:pPr>
      <w:r w:rsidDel="00000000" w:rsidR="00000000" w:rsidRPr="00000000">
        <w:rPr>
          <w:rtl w:val="0"/>
        </w:rPr>
        <w:t xml:space="preserve">Moreover, other than the efforts to which Municipalities need to contribute in order to mitigate climate change, they will need to deal with the impacts of climate change, like extreme weather events and other natural phenomena. In order to deal with that, a significant role will play the overall framework for the adaptation of climate change both at the EU and at a state level, but also significant will be the utilization of the available tools that are available to local governments in the EU. In the following charter, such EU tools that are aimed to support local administration in the fight against climate change are analyzed.</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1"/>
        <w:numPr>
          <w:ilvl w:val="0"/>
          <w:numId w:val="8"/>
        </w:numPr>
        <w:ind w:left="432" w:hanging="432"/>
        <w:rPr/>
      </w:pPr>
      <w:bookmarkStart w:colFirst="0" w:colLast="0" w:name="_heading=h.2s8eyo1" w:id="8"/>
      <w:bookmarkEnd w:id="8"/>
      <w:r w:rsidDel="00000000" w:rsidR="00000000" w:rsidRPr="00000000">
        <w:rPr>
          <w:rtl w:val="0"/>
        </w:rPr>
        <w:t xml:space="preserve">EU Climate Change Tools and Instruments for Local Government</w:t>
      </w:r>
    </w:p>
    <w:p w:rsidR="00000000" w:rsidDel="00000000" w:rsidP="00000000" w:rsidRDefault="00000000" w:rsidRPr="00000000" w14:paraId="000000CA">
      <w:pPr>
        <w:jc w:val="both"/>
        <w:rPr/>
      </w:pPr>
      <w:r w:rsidDel="00000000" w:rsidR="00000000" w:rsidRPr="00000000">
        <w:rPr>
          <w:rtl w:val="0"/>
        </w:rPr>
        <w:t xml:space="preserve">Since dealing with climate change is now a top priority, the EU has made significant efforts to develop several tools that can support local governments in the fight against climate change. Those tools include policy frameworks, funding programs and technical assistance, helping municipalities plan, finance and implement climate action effectively.</w:t>
      </w:r>
    </w:p>
    <w:p w:rsidR="00000000" w:rsidDel="00000000" w:rsidP="00000000" w:rsidRDefault="00000000" w:rsidRPr="00000000" w14:paraId="000000CB">
      <w:pPr>
        <w:pStyle w:val="Heading2"/>
        <w:numPr>
          <w:ilvl w:val="1"/>
          <w:numId w:val="8"/>
        </w:numPr>
        <w:ind w:left="576" w:hanging="576"/>
        <w:jc w:val="both"/>
        <w:rPr/>
      </w:pPr>
      <w:bookmarkStart w:colFirst="0" w:colLast="0" w:name="_heading=h.17dp8vu" w:id="9"/>
      <w:bookmarkEnd w:id="9"/>
      <w:r w:rsidDel="00000000" w:rsidR="00000000" w:rsidRPr="00000000">
        <w:rPr>
          <w:rtl w:val="0"/>
        </w:rPr>
        <w:t xml:space="preserve">Covenant of Mayors</w:t>
      </w:r>
    </w:p>
    <w:p w:rsidR="00000000" w:rsidDel="00000000" w:rsidP="00000000" w:rsidRDefault="00000000" w:rsidRPr="00000000" w14:paraId="000000CC">
      <w:pPr>
        <w:jc w:val="both"/>
        <w:rPr/>
      </w:pPr>
      <w:r w:rsidDel="00000000" w:rsidR="00000000" w:rsidRPr="00000000">
        <w:rPr>
          <w:rtl w:val="0"/>
        </w:rPr>
        <w:t xml:space="preserve">The Covenant of Mayors</w:t>
      </w:r>
      <w:r w:rsidDel="00000000" w:rsidR="00000000" w:rsidRPr="00000000">
        <w:rPr>
          <w:vertAlign w:val="superscript"/>
        </w:rPr>
        <w:footnoteReference w:customMarkFollows="0" w:id="8"/>
      </w:r>
      <w:r w:rsidDel="00000000" w:rsidR="00000000" w:rsidRPr="00000000">
        <w:rPr>
          <w:rtl w:val="0"/>
        </w:rPr>
        <w:t xml:space="preserve"> is such a framework that can support local governments to deal with climate change. It is an initiative that was launched by the European Commission in 2008 as part of its efforts to support local authorities in achieving the EU’s climate and energy goals. The initiative brings together local governments in the EU that voluntarily commit to implement the EU's climate goals, introducing that way a first of its kind bottom up approach to climate action. There are 3 main objectives of the participants:</w:t>
      </w:r>
    </w:p>
    <w:p w:rsidR="00000000" w:rsidDel="00000000" w:rsidP="00000000" w:rsidRDefault="00000000" w:rsidRPr="00000000" w14:paraId="000000CD">
      <w:pPr>
        <w:jc w:val="both"/>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reduce greenhouse gas emissions in their territory.</w:t>
      </w:r>
    </w:p>
    <w:p w:rsidR="00000000" w:rsidDel="00000000" w:rsidP="00000000" w:rsidRDefault="00000000" w:rsidRPr="00000000" w14:paraId="000000CF">
      <w:pPr>
        <w:jc w:val="both"/>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increase resilience and prepare for the adverse impacts of climate change.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tackle energy poverty as one key action to ensure just transition.</w:t>
      </w:r>
    </w:p>
    <w:p w:rsidR="00000000" w:rsidDel="00000000" w:rsidP="00000000" w:rsidRDefault="00000000" w:rsidRPr="00000000" w14:paraId="000000D3">
      <w:pPr>
        <w:jc w:val="both"/>
        <w:rPr/>
      </w:pPr>
      <w:r w:rsidDel="00000000" w:rsidR="00000000" w:rsidRPr="00000000">
        <w:rPr>
          <w:rtl w:val="0"/>
        </w:rPr>
      </w:r>
    </w:p>
    <w:p w:rsidR="00000000" w:rsidDel="00000000" w:rsidP="00000000" w:rsidRDefault="00000000" w:rsidRPr="00000000" w14:paraId="000000D4">
      <w:pPr>
        <w:jc w:val="both"/>
        <w:rPr>
          <w:b w:val="1"/>
        </w:rPr>
      </w:pPr>
      <w:r w:rsidDel="00000000" w:rsidR="00000000" w:rsidRPr="00000000">
        <w:rPr>
          <w:b w:val="1"/>
          <w:rtl w:val="0"/>
        </w:rPr>
        <w:t xml:space="preserve">History and data </w:t>
      </w:r>
    </w:p>
    <w:p w:rsidR="00000000" w:rsidDel="00000000" w:rsidP="00000000" w:rsidRDefault="00000000" w:rsidRPr="00000000" w14:paraId="000000D5">
      <w:pPr>
        <w:jc w:val="both"/>
        <w:rPr>
          <w:b w:val="1"/>
        </w:rPr>
      </w:pPr>
      <w:r w:rsidDel="00000000" w:rsidR="00000000" w:rsidRPr="00000000">
        <w:rPr>
          <w:rtl w:val="0"/>
        </w:rPr>
      </w:r>
    </w:p>
    <w:p w:rsidR="00000000" w:rsidDel="00000000" w:rsidP="00000000" w:rsidRDefault="00000000" w:rsidRPr="00000000" w14:paraId="000000D6">
      <w:pPr>
        <w:jc w:val="both"/>
        <w:rPr/>
      </w:pPr>
      <w:r w:rsidDel="00000000" w:rsidR="00000000" w:rsidRPr="00000000">
        <w:rPr>
          <w:rtl w:val="0"/>
        </w:rPr>
        <w:t xml:space="preserve">Since its inception, the Covenant of Mayors did not stay the same. Some key milestones are mentioned below</w:t>
      </w:r>
    </w:p>
    <w:p w:rsidR="00000000" w:rsidDel="00000000" w:rsidP="00000000" w:rsidRDefault="00000000" w:rsidRPr="00000000" w14:paraId="000000D7">
      <w:pPr>
        <w:jc w:val="both"/>
        <w:rPr/>
      </w:pPr>
      <w:r w:rsidDel="00000000" w:rsidR="00000000" w:rsidRPr="00000000">
        <w:rPr>
          <w:rtl w:val="0"/>
        </w:rPr>
      </w:r>
    </w:p>
    <w:p w:rsidR="00000000" w:rsidDel="00000000" w:rsidP="00000000" w:rsidRDefault="00000000" w:rsidRPr="00000000" w14:paraId="000000D8">
      <w:pPr>
        <w:jc w:val="both"/>
        <w:rPr/>
      </w:pPr>
      <w:r w:rsidDel="00000000" w:rsidR="00000000" w:rsidRPr="00000000">
        <w:rPr>
          <w:rtl w:val="0"/>
        </w:rPr>
        <w:t xml:space="preserve">2008 – The European Commission launches the Covenant of Mayors to bring together local and regional authorities committed to sustainable energy and climate policies. </w:t>
      </w:r>
    </w:p>
    <w:p w:rsidR="00000000" w:rsidDel="00000000" w:rsidP="00000000" w:rsidRDefault="00000000" w:rsidRPr="00000000" w14:paraId="000000D9">
      <w:pPr>
        <w:jc w:val="both"/>
        <w:rPr/>
      </w:pPr>
      <w:r w:rsidDel="00000000" w:rsidR="00000000" w:rsidRPr="00000000">
        <w:rPr>
          <w:rtl w:val="0"/>
        </w:rPr>
      </w:r>
    </w:p>
    <w:p w:rsidR="00000000" w:rsidDel="00000000" w:rsidP="00000000" w:rsidRDefault="00000000" w:rsidRPr="00000000" w14:paraId="000000DA">
      <w:pPr>
        <w:jc w:val="both"/>
        <w:rPr/>
      </w:pPr>
      <w:r w:rsidDel="00000000" w:rsidR="00000000" w:rsidRPr="00000000">
        <w:rPr>
          <w:rtl w:val="0"/>
        </w:rPr>
        <w:t xml:space="preserve">2014 – The Mayors Adapt initiative is introduced, focusing on climate change adaptation</w:t>
      </w:r>
    </w:p>
    <w:p w:rsidR="00000000" w:rsidDel="00000000" w:rsidP="00000000" w:rsidRDefault="00000000" w:rsidRPr="00000000" w14:paraId="000000DB">
      <w:pPr>
        <w:jc w:val="both"/>
        <w:rPr/>
      </w:pPr>
      <w:r w:rsidDel="00000000" w:rsidR="00000000" w:rsidRPr="00000000">
        <w:rPr>
          <w:rtl w:val="0"/>
        </w:rPr>
      </w:r>
    </w:p>
    <w:p w:rsidR="00000000" w:rsidDel="00000000" w:rsidP="00000000" w:rsidRDefault="00000000" w:rsidRPr="00000000" w14:paraId="000000DC">
      <w:pPr>
        <w:jc w:val="both"/>
        <w:rPr/>
      </w:pPr>
      <w:r w:rsidDel="00000000" w:rsidR="00000000" w:rsidRPr="00000000">
        <w:rPr>
          <w:rtl w:val="0"/>
        </w:rPr>
        <w:t xml:space="preserve">2015 – The two initiatives merge, and now the Covenant of Mayors includes both mitigation and adaptation</w:t>
      </w:r>
    </w:p>
    <w:p w:rsidR="00000000" w:rsidDel="00000000" w:rsidP="00000000" w:rsidRDefault="00000000" w:rsidRPr="00000000" w14:paraId="000000DD">
      <w:pPr>
        <w:jc w:val="both"/>
        <w:rPr/>
      </w:pPr>
      <w:r w:rsidDel="00000000" w:rsidR="00000000" w:rsidRPr="00000000">
        <w:rPr>
          <w:rtl w:val="0"/>
        </w:rPr>
      </w:r>
    </w:p>
    <w:p w:rsidR="00000000" w:rsidDel="00000000" w:rsidP="00000000" w:rsidRDefault="00000000" w:rsidRPr="00000000" w14:paraId="000000DE">
      <w:pPr>
        <w:jc w:val="both"/>
        <w:rPr/>
      </w:pPr>
      <w:r w:rsidDel="00000000" w:rsidR="00000000" w:rsidRPr="00000000">
        <w:rPr>
          <w:rtl w:val="0"/>
        </w:rPr>
        <w:t xml:space="preserve">2016 – The initiative aligns with the EU 2030 targets, committing the signatories to at least 40% GHG reduction by 2030.</w:t>
      </w:r>
    </w:p>
    <w:p w:rsidR="00000000" w:rsidDel="00000000" w:rsidP="00000000" w:rsidRDefault="00000000" w:rsidRPr="00000000" w14:paraId="000000DF">
      <w:pPr>
        <w:jc w:val="both"/>
        <w:rPr/>
      </w:pPr>
      <w:r w:rsidDel="00000000" w:rsidR="00000000" w:rsidRPr="00000000">
        <w:rPr>
          <w:rtl w:val="0"/>
        </w:rPr>
      </w:r>
    </w:p>
    <w:p w:rsidR="00000000" w:rsidDel="00000000" w:rsidP="00000000" w:rsidRDefault="00000000" w:rsidRPr="00000000" w14:paraId="000000E0">
      <w:pPr>
        <w:jc w:val="both"/>
        <w:rPr/>
      </w:pPr>
      <w:r w:rsidDel="00000000" w:rsidR="00000000" w:rsidRPr="00000000">
        <w:rPr>
          <w:rtl w:val="0"/>
        </w:rPr>
        <w:t xml:space="preserve">2017 – The Covenant of Mayors joins with the Compact of Mayors, forming the Global Covenant of Mayors for Climate &amp; Energy, expanding their reach outside the EU.</w:t>
      </w:r>
    </w:p>
    <w:p w:rsidR="00000000" w:rsidDel="00000000" w:rsidP="00000000" w:rsidRDefault="00000000" w:rsidRPr="00000000" w14:paraId="000000E1">
      <w:pPr>
        <w:jc w:val="both"/>
        <w:rPr/>
      </w:pPr>
      <w:r w:rsidDel="00000000" w:rsidR="00000000" w:rsidRPr="00000000">
        <w:rPr>
          <w:rtl w:val="0"/>
        </w:rPr>
      </w:r>
    </w:p>
    <w:p w:rsidR="00000000" w:rsidDel="00000000" w:rsidP="00000000" w:rsidRDefault="00000000" w:rsidRPr="00000000" w14:paraId="000000E2">
      <w:pPr>
        <w:jc w:val="both"/>
        <w:rPr/>
      </w:pPr>
      <w:r w:rsidDel="00000000" w:rsidR="00000000" w:rsidRPr="00000000">
        <w:rPr>
          <w:rtl w:val="0"/>
        </w:rPr>
        <w:t xml:space="preserve">2021 – The Initiative’s goals are updated in alignment with the EU Green Deal. The signatories since then need to commit to climate neutrality by 2050, alignment with their country’s target on emission reduction by 2030 and stronger resilience goals.</w:t>
      </w:r>
    </w:p>
    <w:p w:rsidR="00000000" w:rsidDel="00000000" w:rsidP="00000000" w:rsidRDefault="00000000" w:rsidRPr="00000000" w14:paraId="000000E3">
      <w:pPr>
        <w:jc w:val="both"/>
        <w:rPr/>
      </w:pPr>
      <w:r w:rsidDel="00000000" w:rsidR="00000000" w:rsidRPr="00000000">
        <w:rPr>
          <w:rtl w:val="0"/>
        </w:rPr>
      </w:r>
    </w:p>
    <w:p w:rsidR="00000000" w:rsidDel="00000000" w:rsidP="00000000" w:rsidRDefault="00000000" w:rsidRPr="00000000" w14:paraId="000000E4">
      <w:pPr>
        <w:jc w:val="both"/>
        <w:rPr/>
      </w:pPr>
      <w:r w:rsidDel="00000000" w:rsidR="00000000" w:rsidRPr="00000000">
        <w:rPr>
          <w:rtl w:val="0"/>
        </w:rPr>
        <w:t xml:space="preserve">As a result, today the Covenant of Mayors is a huge movement of local authorities for climate action, amounting 12013 signatories and 8629 actions plans</w:t>
      </w:r>
      <w:r w:rsidDel="00000000" w:rsidR="00000000" w:rsidRPr="00000000">
        <w:rPr>
          <w:vertAlign w:val="superscript"/>
        </w:rPr>
        <w:footnoteReference w:customMarkFollows="0" w:id="9"/>
      </w:r>
      <w:r w:rsidDel="00000000" w:rsidR="00000000" w:rsidRPr="00000000">
        <w:rPr>
          <w:rtl w:val="0"/>
        </w:rPr>
        <w:t xml:space="preserve">. Globally, with the Global Covenant of Mayors, it reaches 13558 (2024) cities</w:t>
      </w:r>
      <w:r w:rsidDel="00000000" w:rsidR="00000000" w:rsidRPr="00000000">
        <w:rPr>
          <w:vertAlign w:val="superscript"/>
        </w:rPr>
        <w:footnoteReference w:customMarkFollows="0" w:id="10"/>
      </w:r>
      <w:r w:rsidDel="00000000" w:rsidR="00000000" w:rsidRPr="00000000">
        <w:rPr>
          <w:rtl w:val="0"/>
        </w:rPr>
        <w:t xml:space="preserve">, representing the world’s largest alliance for city climate leadership.</w:t>
      </w:r>
    </w:p>
    <w:p w:rsidR="00000000" w:rsidDel="00000000" w:rsidP="00000000" w:rsidRDefault="00000000" w:rsidRPr="00000000" w14:paraId="000000E5">
      <w:pPr>
        <w:jc w:val="both"/>
        <w:rPr/>
      </w:pPr>
      <w:r w:rsidDel="00000000" w:rsidR="00000000" w:rsidRPr="00000000">
        <w:rPr>
          <w:rtl w:val="0"/>
        </w:rPr>
      </w:r>
    </w:p>
    <w:p w:rsidR="00000000" w:rsidDel="00000000" w:rsidP="00000000" w:rsidRDefault="00000000" w:rsidRPr="00000000" w14:paraId="000000E6">
      <w:pPr>
        <w:jc w:val="both"/>
        <w:rPr>
          <w:b w:val="1"/>
        </w:rPr>
      </w:pPr>
      <w:r w:rsidDel="00000000" w:rsidR="00000000" w:rsidRPr="00000000">
        <w:rPr>
          <w:b w:val="1"/>
          <w:rtl w:val="0"/>
        </w:rPr>
        <w:t xml:space="preserve">Steps to become a signatory</w:t>
      </w:r>
    </w:p>
    <w:p w:rsidR="00000000" w:rsidDel="00000000" w:rsidP="00000000" w:rsidRDefault="00000000" w:rsidRPr="00000000" w14:paraId="000000E7">
      <w:pPr>
        <w:jc w:val="both"/>
        <w:rPr>
          <w:b w:val="1"/>
        </w:rPr>
      </w:pPr>
      <w:r w:rsidDel="00000000" w:rsidR="00000000" w:rsidRPr="00000000">
        <w:rPr>
          <w:rtl w:val="0"/>
        </w:rPr>
      </w:r>
    </w:p>
    <w:p w:rsidR="00000000" w:rsidDel="00000000" w:rsidP="00000000" w:rsidRDefault="00000000" w:rsidRPr="00000000" w14:paraId="000000E8">
      <w:pPr>
        <w:jc w:val="both"/>
        <w:rPr/>
      </w:pPr>
      <w:r w:rsidDel="00000000" w:rsidR="00000000" w:rsidRPr="00000000">
        <w:rPr>
          <w:rtl w:val="0"/>
        </w:rPr>
        <w:t xml:space="preserve">There are definitely significant benefits for a local authority to participate as a signatory in the EU Covenant of Mayors, but there are also specific steps that each authority should take in order to enter the group of signatories and keep being a member. </w:t>
      </w:r>
    </w:p>
    <w:p w:rsidR="00000000" w:rsidDel="00000000" w:rsidP="00000000" w:rsidRDefault="00000000" w:rsidRPr="00000000" w14:paraId="000000E9">
      <w:pPr>
        <w:jc w:val="both"/>
        <w:rPr/>
      </w:pPr>
      <w:r w:rsidDel="00000000" w:rsidR="00000000" w:rsidRPr="00000000">
        <w:rPr>
          <w:rtl w:val="0"/>
        </w:rPr>
      </w:r>
    </w:p>
    <w:p w:rsidR="00000000" w:rsidDel="00000000" w:rsidP="00000000" w:rsidRDefault="00000000" w:rsidRPr="00000000" w14:paraId="000000EA">
      <w:pPr>
        <w:jc w:val="both"/>
        <w:rPr/>
      </w:pPr>
      <w:r w:rsidDel="00000000" w:rsidR="00000000" w:rsidRPr="00000000">
        <w:rPr>
          <w:rtl w:val="0"/>
        </w:rPr>
        <w:t xml:space="preserve">The first step is the political commitment. Each signatory needs to present the Commitment document of the Covenant of Mayors </w:t>
      </w:r>
      <w:r w:rsidDel="00000000" w:rsidR="00000000" w:rsidRPr="00000000">
        <w:rPr>
          <w:vertAlign w:val="superscript"/>
        </w:rPr>
        <w:footnoteReference w:customMarkFollows="0" w:id="11"/>
      </w:r>
      <w:r w:rsidDel="00000000" w:rsidR="00000000" w:rsidRPr="00000000">
        <w:rPr>
          <w:rtl w:val="0"/>
        </w:rPr>
        <w:t xml:space="preserve">. The main actions that the local authority will commit are the following from the document:</w:t>
      </w:r>
    </w:p>
    <w:p w:rsidR="00000000" w:rsidDel="00000000" w:rsidP="00000000" w:rsidRDefault="00000000" w:rsidRPr="00000000" w14:paraId="000000EB">
      <w:pPr>
        <w:jc w:val="both"/>
        <w:rPr/>
      </w:pPr>
      <w:r w:rsidDel="00000000" w:rsidR="00000000" w:rsidRPr="00000000">
        <w:rPr>
          <w:rtl w:val="0"/>
        </w:rPr>
        <w:t xml:space="preserve"> </w:t>
      </w:r>
    </w:p>
    <w:p w:rsidR="00000000" w:rsidDel="00000000" w:rsidP="00000000" w:rsidRDefault="00000000" w:rsidRPr="00000000" w14:paraId="000000EC">
      <w:pPr>
        <w:jc w:val="both"/>
        <w:rPr>
          <w:i w:val="1"/>
        </w:rPr>
      </w:pPr>
      <w:r w:rsidDel="00000000" w:rsidR="00000000" w:rsidRPr="00000000">
        <w:rPr>
          <w:i w:val="1"/>
          <w:rtl w:val="0"/>
        </w:rPr>
        <w:t xml:space="preserve">“</w:t>
      </w:r>
      <w:r w:rsidDel="00000000" w:rsidR="00000000" w:rsidRPr="00000000">
        <w:rPr>
          <w:b w:val="1"/>
          <w:i w:val="1"/>
          <w:rtl w:val="0"/>
        </w:rPr>
        <w:t xml:space="preserve">COMMIT </w:t>
      </w:r>
      <w:r w:rsidDel="00000000" w:rsidR="00000000" w:rsidRPr="00000000">
        <w:rPr>
          <w:i w:val="1"/>
          <w:rtl w:val="0"/>
        </w:rPr>
        <w:t xml:space="preserve">to setting mid- and long-term targets, consistent with the EU objectives, and at least as ambitious as our national targets. Our goal will be to achieve climate neutrality by 2050.  Considering the current climate emergency, we will make climate action our priority and communicate it to our citizens.</w:t>
      </w:r>
    </w:p>
    <w:p w:rsidR="00000000" w:rsidDel="00000000" w:rsidP="00000000" w:rsidRDefault="00000000" w:rsidRPr="00000000" w14:paraId="000000ED">
      <w:pPr>
        <w:jc w:val="both"/>
        <w:rPr>
          <w:i w:val="1"/>
        </w:rPr>
      </w:pPr>
      <w:r w:rsidDel="00000000" w:rsidR="00000000" w:rsidRPr="00000000">
        <w:rPr>
          <w:rtl w:val="0"/>
        </w:rPr>
      </w:r>
    </w:p>
    <w:p w:rsidR="00000000" w:rsidDel="00000000" w:rsidP="00000000" w:rsidRDefault="00000000" w:rsidRPr="00000000" w14:paraId="000000EE">
      <w:pPr>
        <w:jc w:val="both"/>
        <w:rPr>
          <w:i w:val="1"/>
        </w:rPr>
      </w:pPr>
      <w:r w:rsidDel="00000000" w:rsidR="00000000" w:rsidRPr="00000000">
        <w:rPr>
          <w:b w:val="1"/>
          <w:i w:val="1"/>
          <w:rtl w:val="0"/>
        </w:rPr>
        <w:t xml:space="preserve">ENGAGE </w:t>
      </w:r>
      <w:r w:rsidDel="00000000" w:rsidR="00000000" w:rsidRPr="00000000">
        <w:rPr>
          <w:i w:val="1"/>
          <w:rtl w:val="0"/>
        </w:rPr>
        <w:t xml:space="preserve">our citizens, businesses and governments at all levels in the implementation of this vision and in the transformation of our social and economic systems. We aim to develop a local climate pact with all the players who will help us reach those objectives.</w:t>
      </w:r>
    </w:p>
    <w:p w:rsidR="00000000" w:rsidDel="00000000" w:rsidP="00000000" w:rsidRDefault="00000000" w:rsidRPr="00000000" w14:paraId="000000EF">
      <w:pPr>
        <w:jc w:val="both"/>
        <w:rPr>
          <w:i w:val="1"/>
        </w:rPr>
      </w:pPr>
      <w:r w:rsidDel="00000000" w:rsidR="00000000" w:rsidRPr="00000000">
        <w:rPr>
          <w:rtl w:val="0"/>
        </w:rPr>
      </w:r>
    </w:p>
    <w:p w:rsidR="00000000" w:rsidDel="00000000" w:rsidP="00000000" w:rsidRDefault="00000000" w:rsidRPr="00000000" w14:paraId="000000F0">
      <w:pPr>
        <w:jc w:val="both"/>
        <w:rPr>
          <w:i w:val="1"/>
        </w:rPr>
      </w:pPr>
      <w:r w:rsidDel="00000000" w:rsidR="00000000" w:rsidRPr="00000000">
        <w:rPr>
          <w:b w:val="1"/>
          <w:i w:val="1"/>
          <w:rtl w:val="0"/>
        </w:rPr>
        <w:t xml:space="preserve">ACT, </w:t>
      </w:r>
      <w:r w:rsidDel="00000000" w:rsidR="00000000" w:rsidRPr="00000000">
        <w:rPr>
          <w:i w:val="1"/>
          <w:rtl w:val="0"/>
        </w:rPr>
        <w:t xml:space="preserve">now and together, to get on track and accelerate the necessary transition. We will develop, implement and report -within the established deadlines,</w:t>
      </w:r>
      <w:r w:rsidDel="00000000" w:rsidR="00000000" w:rsidRPr="00000000">
        <w:rPr>
          <w:b w:val="1"/>
          <w:i w:val="1"/>
          <w:rtl w:val="0"/>
        </w:rPr>
        <w:t xml:space="preserve"> </w:t>
      </w:r>
      <w:r w:rsidDel="00000000" w:rsidR="00000000" w:rsidRPr="00000000">
        <w:rPr>
          <w:i w:val="1"/>
          <w:rtl w:val="0"/>
        </w:rPr>
        <w:t xml:space="preserve">an action plan to reach our targets. Our plans will include provisions on how to mitigate and adapt to climate change, while remaining inclusive. </w:t>
      </w:r>
    </w:p>
    <w:p w:rsidR="00000000" w:rsidDel="00000000" w:rsidP="00000000" w:rsidRDefault="00000000" w:rsidRPr="00000000" w14:paraId="000000F1">
      <w:pPr>
        <w:jc w:val="both"/>
        <w:rPr>
          <w:i w:val="1"/>
        </w:rPr>
      </w:pPr>
      <w:r w:rsidDel="00000000" w:rsidR="00000000" w:rsidRPr="00000000">
        <w:rPr>
          <w:rtl w:val="0"/>
        </w:rPr>
      </w:r>
    </w:p>
    <w:p w:rsidR="00000000" w:rsidDel="00000000" w:rsidP="00000000" w:rsidRDefault="00000000" w:rsidRPr="00000000" w14:paraId="000000F2">
      <w:pPr>
        <w:jc w:val="both"/>
        <w:rPr>
          <w:i w:val="1"/>
        </w:rPr>
      </w:pPr>
      <w:r w:rsidDel="00000000" w:rsidR="00000000" w:rsidRPr="00000000">
        <w:rPr>
          <w:b w:val="1"/>
          <w:i w:val="1"/>
          <w:rtl w:val="0"/>
        </w:rPr>
        <w:t xml:space="preserve">NETWORK</w:t>
      </w:r>
      <w:r w:rsidDel="00000000" w:rsidR="00000000" w:rsidRPr="00000000">
        <w:rPr>
          <w:i w:val="1"/>
          <w:rtl w:val="0"/>
        </w:rPr>
        <w:t xml:space="preserve"> with fellow Mayors and local leaders, in Europe and beyond, to get inspiration from each other. We will encourage them to join us in the Global Covenant of Mayors movement, wherever they are in the world, would they embrace the objectives and vision described herein.”</w:t>
      </w:r>
    </w:p>
    <w:p w:rsidR="00000000" w:rsidDel="00000000" w:rsidP="00000000" w:rsidRDefault="00000000" w:rsidRPr="00000000" w14:paraId="000000F3">
      <w:pPr>
        <w:jc w:val="both"/>
        <w:rPr/>
      </w:pPr>
      <w:r w:rsidDel="00000000" w:rsidR="00000000" w:rsidRPr="00000000">
        <w:rPr>
          <w:rtl w:val="0"/>
        </w:rPr>
      </w:r>
    </w:p>
    <w:p w:rsidR="00000000" w:rsidDel="00000000" w:rsidP="00000000" w:rsidRDefault="00000000" w:rsidRPr="00000000" w14:paraId="000000F4">
      <w:pPr>
        <w:jc w:val="both"/>
        <w:rPr/>
      </w:pPr>
      <w:r w:rsidDel="00000000" w:rsidR="00000000" w:rsidRPr="00000000">
        <w:rPr>
          <w:rtl w:val="0"/>
        </w:rPr>
        <w:t xml:space="preserve">Upon an official resolution, the council representative needs to sign the document.</w:t>
      </w:r>
    </w:p>
    <w:p w:rsidR="00000000" w:rsidDel="00000000" w:rsidP="00000000" w:rsidRDefault="00000000" w:rsidRPr="00000000" w14:paraId="000000F5">
      <w:pPr>
        <w:jc w:val="both"/>
        <w:rPr/>
      </w:pPr>
      <w:r w:rsidDel="00000000" w:rsidR="00000000" w:rsidRPr="00000000">
        <w:rPr>
          <w:rtl w:val="0"/>
        </w:rPr>
      </w:r>
    </w:p>
    <w:p w:rsidR="00000000" w:rsidDel="00000000" w:rsidP="00000000" w:rsidRDefault="00000000" w:rsidRPr="00000000" w14:paraId="000000F6">
      <w:pPr>
        <w:jc w:val="both"/>
        <w:rPr/>
      </w:pPr>
      <w:r w:rsidDel="00000000" w:rsidR="00000000" w:rsidRPr="00000000">
        <w:rPr>
          <w:rtl w:val="0"/>
        </w:rPr>
        <w:t xml:space="preserve">Following, the city has a 2-year period to complete certain tasks:</w:t>
      </w:r>
    </w:p>
    <w:p w:rsidR="00000000" w:rsidDel="00000000" w:rsidP="00000000" w:rsidRDefault="00000000" w:rsidRPr="00000000" w14:paraId="000000F7">
      <w:pPr>
        <w:jc w:val="both"/>
        <w:rPr/>
      </w:pP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Conduct a Baseline Emission Inventory (BEI), to measure its </w:t>
      </w:r>
      <w:r w:rsidDel="00000000" w:rsidR="00000000" w:rsidRPr="00000000">
        <w:rPr>
          <w:rtl w:val="0"/>
        </w:rPr>
        <w:t xml:space="preserve">GHG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emissions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 a Sustainable Energy and Climate Action Plan (SECAP), setting the targets and outlining the actions to reduce emissions (in line with EU’s emission goal) and adapt to climate change.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Every 2 years submit a monitoring report of the implementation of SECAP.</w:t>
      </w:r>
    </w:p>
    <w:p w:rsidR="00000000" w:rsidDel="00000000" w:rsidP="00000000" w:rsidRDefault="00000000" w:rsidRPr="00000000" w14:paraId="000000FD">
      <w:pPr>
        <w:jc w:val="both"/>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Include in the monitoring report, at least every 4 years, updates of monitoring emission inventories.</w:t>
      </w:r>
    </w:p>
    <w:p w:rsidR="00000000" w:rsidDel="00000000" w:rsidP="00000000" w:rsidRDefault="00000000" w:rsidRPr="00000000" w14:paraId="000000FF">
      <w:pPr>
        <w:jc w:val="both"/>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Include climate risk and vulnerability assessments as information becomes available.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jc w:val="both"/>
        <w:rPr/>
      </w:pPr>
      <w:r w:rsidDel="00000000" w:rsidR="00000000" w:rsidRPr="00000000">
        <w:rPr>
          <w:rtl w:val="0"/>
        </w:rPr>
        <w:t xml:space="preserve">Following the SECAP submission, the European Commission Joint Research Center is tasked with its evaluation and validation.</w:t>
      </w:r>
    </w:p>
    <w:p w:rsidR="00000000" w:rsidDel="00000000" w:rsidP="00000000" w:rsidRDefault="00000000" w:rsidRPr="00000000" w14:paraId="00000103">
      <w:pPr>
        <w:jc w:val="both"/>
        <w:rPr/>
      </w:pPr>
      <w:r w:rsidDel="00000000" w:rsidR="00000000" w:rsidRPr="00000000">
        <w:rPr>
          <w:rtl w:val="0"/>
        </w:rPr>
      </w:r>
    </w:p>
    <w:p w:rsidR="00000000" w:rsidDel="00000000" w:rsidP="00000000" w:rsidRDefault="00000000" w:rsidRPr="00000000" w14:paraId="00000104">
      <w:pPr>
        <w:jc w:val="both"/>
        <w:rPr/>
      </w:pPr>
      <w:r w:rsidDel="00000000" w:rsidR="00000000" w:rsidRPr="00000000">
        <w:rPr>
          <w:rtl w:val="0"/>
        </w:rPr>
        <w:t xml:space="preserve">If a city fails to submit the above, the Covenant of Mayors may suspend the city’s participation in the initiative, to ensure credibility and effectiveness.</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b w:val="1"/>
        </w:rPr>
      </w:pPr>
      <w:r w:rsidDel="00000000" w:rsidR="00000000" w:rsidRPr="00000000">
        <w:rPr>
          <w:b w:val="1"/>
          <w:rtl w:val="0"/>
        </w:rPr>
        <w:t xml:space="preserve">Covenant of Mayors tools and reasons to join</w:t>
      </w:r>
    </w:p>
    <w:p w:rsidR="00000000" w:rsidDel="00000000" w:rsidP="00000000" w:rsidRDefault="00000000" w:rsidRPr="00000000" w14:paraId="00000107">
      <w:pPr>
        <w:rPr>
          <w:b w:val="1"/>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Other than committing to specific goals for 2030 and 2050 for mitigation and adaptation and sharing the same vision with others, the participation in the covenant of mayors offers significant benefits for the municipalities. They can:</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Gain recognition and visibility through the participation of an EU-wide initiative and worldwide through the participation </w:t>
      </w:r>
      <w:r w:rsidDel="00000000" w:rsidR="00000000" w:rsidRPr="00000000">
        <w:rPr>
          <w:rtl w:val="0"/>
        </w:rPr>
        <w:t xml:space="preserve">in the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Global Covenant of Mayors for Climate and Energy.</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Through the initiative, participate in the decision-making at the EU level</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Strengthen the credibility of their commitments, as the plans are evaluated by the European Commission’s Joint Research Centre.</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 access to guidance, technical support and tools. The municipalities can benefit from guidelines and support during the developing process of the SECAP. Moreover, a set of tools are available for the signatories.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 access to guidance regarding the available funding tools. Such tools are the: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Urban Adaptation Support Tool – which provides guidance through the main steps to develop an adaptation action plan and implement adaptation actions</w:t>
      </w:r>
    </w:p>
    <w:p w:rsidR="00000000" w:rsidDel="00000000" w:rsidP="00000000" w:rsidRDefault="00000000" w:rsidRPr="00000000" w14:paraId="000001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Urban Adaptation Map Viewer – which provides an overview of a range of climate hazards and the vulnerability of cities to these hazards and their adaptive capacity</w:t>
      </w:r>
    </w:p>
    <w:p w:rsidR="00000000" w:rsidDel="00000000" w:rsidP="00000000" w:rsidRDefault="00000000" w:rsidRPr="00000000" w14:paraId="000001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learning platform – which provides webinars, case studies and training materials for SECAP development.</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 support and information about the funding opportunities in the EU.</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pStyle w:val="Heading2"/>
        <w:numPr>
          <w:ilvl w:val="1"/>
          <w:numId w:val="8"/>
        </w:numPr>
        <w:ind w:left="576" w:hanging="576"/>
        <w:rPr/>
      </w:pPr>
      <w:bookmarkStart w:colFirst="0" w:colLast="0" w:name="_heading=h.3rdcrjn" w:id="10"/>
      <w:bookmarkEnd w:id="10"/>
      <w:r w:rsidDel="00000000" w:rsidR="00000000" w:rsidRPr="00000000">
        <w:rPr>
          <w:rtl w:val="0"/>
        </w:rPr>
        <w:t xml:space="preserve">Climate-ADAPT</w:t>
      </w:r>
    </w:p>
    <w:p w:rsidR="00000000" w:rsidDel="00000000" w:rsidP="00000000" w:rsidRDefault="00000000" w:rsidRPr="00000000" w14:paraId="0000011D">
      <w:pPr>
        <w:jc w:val="both"/>
        <w:rPr/>
      </w:pPr>
      <w:r w:rsidDel="00000000" w:rsidR="00000000" w:rsidRPr="00000000">
        <w:rPr>
          <w:rtl w:val="0"/>
        </w:rPr>
        <w:t xml:space="preserve">Another tool that the municipalities in the EU can utilize in their fight against climate change is the knowledge platform </w:t>
      </w:r>
      <w:hyperlink r:id="rId13">
        <w:r w:rsidDel="00000000" w:rsidR="00000000" w:rsidRPr="00000000">
          <w:rPr>
            <w:color w:val="0000ff"/>
            <w:u w:val="single"/>
            <w:rtl w:val="0"/>
          </w:rPr>
          <w:t xml:space="preserve">Climate ADAPT</w:t>
        </w:r>
      </w:hyperlink>
      <w:r w:rsidDel="00000000" w:rsidR="00000000" w:rsidRPr="00000000">
        <w:rPr>
          <w:rtl w:val="0"/>
        </w:rPr>
        <w:t xml:space="preserve">. Climate ADAPT is an online platform that was established by the European Commission in collaboration with the European Environment Agency (EEA) in 2012. It was part of the EU Adaptation Strategy to address the growing need for reliable and easily accessible climate adaptation knowledge. It serves as a central hub of the EU for information on climate adaptation policies, strategies, case studies and tools across Europe. That way the Climate- ADAPT platform enhances decision making of stakeholders at different government levels – including local government – by providing robust, science-based data and fostering knowledge sharing.</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b w:val="1"/>
        </w:rPr>
      </w:pPr>
      <w:r w:rsidDel="00000000" w:rsidR="00000000" w:rsidRPr="00000000">
        <w:rPr>
          <w:b w:val="1"/>
          <w:rtl w:val="0"/>
        </w:rPr>
        <w:t xml:space="preserve">Climate ADAPT material</w:t>
      </w:r>
    </w:p>
    <w:p w:rsidR="00000000" w:rsidDel="00000000" w:rsidP="00000000" w:rsidRDefault="00000000" w:rsidRPr="00000000" w14:paraId="00000120">
      <w:pPr>
        <w:rPr>
          <w:b w:val="1"/>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The material in the platform can be categorized into some general categories. </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Policy and Governance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Through the platform one can find information on the relevant policies, such as the EU Climate Adaptation Strategy and the National Adaptation Strategies of each member state.</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Knowledge and Data resources</w:t>
      </w:r>
    </w:p>
    <w:p w:rsidR="00000000" w:rsidDel="00000000" w:rsidP="00000000" w:rsidRDefault="00000000" w:rsidRPr="00000000" w14:paraId="00000127">
      <w:pPr>
        <w:ind w:left="708" w:firstLine="0"/>
        <w:rPr/>
      </w:pPr>
      <w:r w:rsidDel="00000000" w:rsidR="00000000" w:rsidRPr="00000000">
        <w:rPr>
          <w:rtl w:val="0"/>
        </w:rPr>
        <w:t xml:space="preserve">The platform offers access to a plethora of climate data, research and adaptation case studies, with information from the IPCC (Intergovernmental Panel on Climate Change) and Copernicus Climate Change Service.</w:t>
      </w:r>
    </w:p>
    <w:p w:rsidR="00000000" w:rsidDel="00000000" w:rsidP="00000000" w:rsidRDefault="00000000" w:rsidRPr="00000000" w14:paraId="00000128">
      <w:pPr>
        <w:ind w:left="708" w:firstLine="0"/>
        <w:rPr/>
      </w:pP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Case Studies and Best Practices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platform highlights successfully implemented adaptation projects all around Europe. By sharing best practices and different examples the platform promotes replicability of the successful projects to adapt to climate change impacts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Tools, guidelines and methodologies</w:t>
      </w:r>
    </w:p>
    <w:p w:rsidR="00000000" w:rsidDel="00000000" w:rsidP="00000000" w:rsidRDefault="00000000" w:rsidRPr="00000000" w14:paraId="0000012D">
      <w:pPr>
        <w:ind w:left="720" w:firstLine="0"/>
        <w:jc w:val="both"/>
        <w:rPr/>
      </w:pPr>
      <w:r w:rsidDel="00000000" w:rsidR="00000000" w:rsidRPr="00000000">
        <w:rPr>
          <w:rtl w:val="0"/>
        </w:rPr>
        <w:t xml:space="preserve">The Climate ADAPT platform includes several tools that policymakers can use to develop and implement adaptation strategies. Such tools include: </w:t>
      </w:r>
    </w:p>
    <w:p w:rsidR="00000000" w:rsidDel="00000000" w:rsidP="00000000" w:rsidRDefault="00000000" w:rsidRPr="00000000" w14:paraId="000001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Adaptation Support Tool for National Adaptation Plans: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Supports EU member states in developing, updating, and evaluating their national adaptation strategies.</w:t>
      </w:r>
    </w:p>
    <w:p w:rsidR="00000000" w:rsidDel="00000000" w:rsidP="00000000" w:rsidRDefault="00000000" w:rsidRPr="00000000" w14:paraId="000001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Economic Analysis Tools: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Offers methodologies for assessing the costs and benefits of adaptation measures, helping decision-makers allocate resources effectively.</w:t>
      </w:r>
    </w:p>
    <w:p w:rsidR="00000000" w:rsidDel="00000000" w:rsidP="00000000" w:rsidRDefault="00000000" w:rsidRPr="00000000" w14:paraId="000001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tool for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Measuring Progress towards climate resilience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through a database of numerous frameworks related to adaptation and over 1000 indicators that measure resilience.</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pP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Networking and Collaboration</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Last but not least, the platform facilitates networking among adaptation professionals, policymakers and researchers by providing links to EU-funded projects, partnerships, and relevant events.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pStyle w:val="Heading2"/>
        <w:numPr>
          <w:ilvl w:val="1"/>
          <w:numId w:val="8"/>
        </w:numPr>
        <w:ind w:left="576" w:hanging="576"/>
        <w:rPr/>
      </w:pPr>
      <w:bookmarkStart w:colFirst="0" w:colLast="0" w:name="_heading=h.26in1rg" w:id="11"/>
      <w:bookmarkEnd w:id="11"/>
      <w:r w:rsidDel="00000000" w:rsidR="00000000" w:rsidRPr="00000000">
        <w:rPr>
          <w:rtl w:val="0"/>
        </w:rPr>
        <w:t xml:space="preserve">Funding Mechanisms</w:t>
      </w:r>
    </w:p>
    <w:p w:rsidR="00000000" w:rsidDel="00000000" w:rsidP="00000000" w:rsidRDefault="00000000" w:rsidRPr="00000000" w14:paraId="00000136">
      <w:pPr>
        <w:jc w:val="both"/>
        <w:rPr/>
      </w:pPr>
      <w:r w:rsidDel="00000000" w:rsidR="00000000" w:rsidRPr="00000000">
        <w:rPr>
          <w:rtl w:val="0"/>
        </w:rPr>
        <w:t xml:space="preserve">One of the major challenges local governments in the EU face related to climate action is sufficient funding. The needs that are related to both energy transition and climate change adaptation measures are increased at the local level, making it hard for municipalities to gather the necessary resources to cope with climate change impacts, since often funding from member states is usually not enough. The EU is recognizing this need, and offers plenty of opportunities for local governments to utilize in order to fund their needs.</w:t>
      </w:r>
    </w:p>
    <w:p w:rsidR="00000000" w:rsidDel="00000000" w:rsidP="00000000" w:rsidRDefault="00000000" w:rsidRPr="00000000" w14:paraId="00000137">
      <w:pPr>
        <w:jc w:val="both"/>
        <w:rPr/>
      </w:pPr>
      <w:r w:rsidDel="00000000" w:rsidR="00000000" w:rsidRPr="00000000">
        <w:rPr>
          <w:rtl w:val="0"/>
        </w:rPr>
      </w:r>
    </w:p>
    <w:p w:rsidR="00000000" w:rsidDel="00000000" w:rsidP="00000000" w:rsidRDefault="00000000" w:rsidRPr="00000000" w14:paraId="00000138">
      <w:pPr>
        <w:jc w:val="both"/>
        <w:rPr/>
      </w:pPr>
      <w:r w:rsidDel="00000000" w:rsidR="00000000" w:rsidRPr="00000000">
        <w:rPr>
          <w:rtl w:val="0"/>
        </w:rPr>
        <w:t xml:space="preserve">The funding mechanisms that are relevant to local governments for climate adaptation and mitigation actions could be categorized based on the fund management</w:t>
      </w:r>
      <w:r w:rsidDel="00000000" w:rsidR="00000000" w:rsidRPr="00000000">
        <w:rPr>
          <w:vertAlign w:val="superscript"/>
        </w:rPr>
        <w:footnoteReference w:customMarkFollows="0" w:id="12"/>
      </w:r>
      <w:r w:rsidDel="00000000" w:rsidR="00000000" w:rsidRPr="00000000">
        <w:rPr>
          <w:rtl w:val="0"/>
        </w:rPr>
        <w:t xml:space="preserve">. Funding is managed in three different ways in the EU. There is share management (between the EU and member states), direct management (only European Commission) and indirect management (funding is managed by partner organizations or other authorities. Though </w:t>
      </w:r>
    </w:p>
    <w:p w:rsidR="00000000" w:rsidDel="00000000" w:rsidP="00000000" w:rsidRDefault="00000000" w:rsidRPr="00000000" w14:paraId="00000139">
      <w:pPr>
        <w:jc w:val="both"/>
        <w:rPr/>
      </w:pPr>
      <w:r w:rsidDel="00000000" w:rsidR="00000000" w:rsidRPr="00000000">
        <w:rPr>
          <w:rtl w:val="0"/>
        </w:rPr>
      </w:r>
    </w:p>
    <w:p w:rsidR="00000000" w:rsidDel="00000000" w:rsidP="00000000" w:rsidRDefault="00000000" w:rsidRPr="00000000" w14:paraId="0000013A">
      <w:pPr>
        <w:jc w:val="both"/>
        <w:rPr/>
      </w:pPr>
      <w:r w:rsidDel="00000000" w:rsidR="00000000" w:rsidRPr="00000000">
        <w:rPr>
          <w:b w:val="1"/>
          <w:rtl w:val="0"/>
        </w:rPr>
        <w:t xml:space="preserve">Shared management</w:t>
      </w:r>
      <w:r w:rsidDel="00000000" w:rsidR="00000000" w:rsidRPr="00000000">
        <w:rPr>
          <w:rtl w:val="0"/>
        </w:rPr>
        <w:t xml:space="preserve">: Funding is managed by both the European Commission and the national authorities in the Member State, such as ministries and public institutions. (Around 70% of EU programmes).</w:t>
      </w:r>
    </w:p>
    <w:p w:rsidR="00000000" w:rsidDel="00000000" w:rsidP="00000000" w:rsidRDefault="00000000" w:rsidRPr="00000000" w14:paraId="0000013B">
      <w:pPr>
        <w:jc w:val="both"/>
        <w:rPr/>
      </w:pPr>
      <w:r w:rsidDel="00000000" w:rsidR="00000000" w:rsidRPr="00000000">
        <w:rPr>
          <w:rtl w:val="0"/>
        </w:rPr>
      </w:r>
    </w:p>
    <w:p w:rsidR="00000000" w:rsidDel="00000000" w:rsidP="00000000" w:rsidRDefault="00000000" w:rsidRPr="00000000" w14:paraId="0000013C">
      <w:pPr>
        <w:jc w:val="both"/>
        <w:rPr/>
      </w:pPr>
      <w:r w:rsidDel="00000000" w:rsidR="00000000" w:rsidRPr="00000000">
        <w:rPr>
          <w:rtl w:val="0"/>
        </w:rPr>
        <w:t xml:space="preserve">In this category there are significant funds that can benefit local governments. These funds that are relevant to local authorities in relation to climate actions are funds related to EU’s cohesion policy. Such funds are the:</w:t>
      </w:r>
    </w:p>
    <w:p w:rsidR="00000000" w:rsidDel="00000000" w:rsidP="00000000" w:rsidRDefault="00000000" w:rsidRPr="00000000" w14:paraId="0000013D">
      <w:pPr>
        <w:jc w:val="both"/>
        <w:rPr/>
      </w:pPr>
      <w:r w:rsidDel="00000000" w:rsidR="00000000" w:rsidRPr="00000000">
        <w:rPr>
          <w:rtl w:val="0"/>
        </w:rPr>
      </w:r>
    </w:p>
    <w:p w:rsidR="00000000" w:rsidDel="00000000" w:rsidP="00000000" w:rsidRDefault="00000000" w:rsidRPr="00000000" w14:paraId="0000013E">
      <w:pPr>
        <w:jc w:val="both"/>
        <w:rPr/>
      </w:pPr>
      <w:hyperlink r:id="rId14">
        <w:r w:rsidDel="00000000" w:rsidR="00000000" w:rsidRPr="00000000">
          <w:rPr>
            <w:b w:val="1"/>
            <w:color w:val="0000ff"/>
            <w:u w:val="single"/>
            <w:rtl w:val="0"/>
          </w:rPr>
          <w:t xml:space="preserve">European Regional Development Fund (ERDF)</w:t>
        </w:r>
      </w:hyperlink>
      <w:r w:rsidDel="00000000" w:rsidR="00000000" w:rsidRPr="00000000">
        <w:rPr>
          <w:rtl w:val="0"/>
        </w:rPr>
        <w:t xml:space="preserve">  </w:t>
      </w:r>
    </w:p>
    <w:p w:rsidR="00000000" w:rsidDel="00000000" w:rsidP="00000000" w:rsidRDefault="00000000" w:rsidRPr="00000000" w14:paraId="0000013F">
      <w:pPr>
        <w:jc w:val="both"/>
        <w:rPr/>
      </w:pPr>
      <w:r w:rsidDel="00000000" w:rsidR="00000000" w:rsidRPr="00000000">
        <w:rPr>
          <w:rtl w:val="0"/>
        </w:rPr>
        <w:t xml:space="preserve">This fund aims to strengthen economic, social and territorial cohesion in the European Union by correcting imbalances between its regions. A variety of projects can be financed from this fund and climate change related projects are a priority. The Interreg programs – which are programs that fund cross-border, transnational, and interregional cooperation projects – are also funded by the ERDF.</w:t>
      </w:r>
    </w:p>
    <w:p w:rsidR="00000000" w:rsidDel="00000000" w:rsidP="00000000" w:rsidRDefault="00000000" w:rsidRPr="00000000" w14:paraId="00000140">
      <w:pPr>
        <w:jc w:val="both"/>
        <w:rPr/>
      </w:pPr>
      <w:r w:rsidDel="00000000" w:rsidR="00000000" w:rsidRPr="00000000">
        <w:rPr>
          <w:rtl w:val="0"/>
        </w:rPr>
      </w:r>
    </w:p>
    <w:p w:rsidR="00000000" w:rsidDel="00000000" w:rsidP="00000000" w:rsidRDefault="00000000" w:rsidRPr="00000000" w14:paraId="00000141">
      <w:pPr>
        <w:jc w:val="both"/>
        <w:rPr>
          <w:b w:val="1"/>
        </w:rPr>
      </w:pPr>
      <w:hyperlink r:id="rId15">
        <w:r w:rsidDel="00000000" w:rsidR="00000000" w:rsidRPr="00000000">
          <w:rPr>
            <w:b w:val="1"/>
            <w:color w:val="0000ff"/>
            <w:u w:val="single"/>
            <w:rtl w:val="0"/>
          </w:rPr>
          <w:t xml:space="preserve">Cohesion Fund</w:t>
        </w:r>
      </w:hyperlink>
      <w:r w:rsidDel="00000000" w:rsidR="00000000" w:rsidRPr="00000000">
        <w:rPr>
          <w:b w:val="1"/>
          <w:rtl w:val="0"/>
        </w:rPr>
        <w:t xml:space="preserve"> </w:t>
      </w:r>
    </w:p>
    <w:p w:rsidR="00000000" w:rsidDel="00000000" w:rsidP="00000000" w:rsidRDefault="00000000" w:rsidRPr="00000000" w14:paraId="00000142">
      <w:pPr>
        <w:jc w:val="both"/>
        <w:rPr/>
      </w:pPr>
      <w:r w:rsidDel="00000000" w:rsidR="00000000" w:rsidRPr="00000000">
        <w:rPr>
          <w:rtl w:val="0"/>
        </w:rPr>
        <w:t xml:space="preserve">The Cohesion Fund provides support to the weaker member states of the EU, having also in high priority climate objectives.</w:t>
      </w:r>
    </w:p>
    <w:p w:rsidR="00000000" w:rsidDel="00000000" w:rsidP="00000000" w:rsidRDefault="00000000" w:rsidRPr="00000000" w14:paraId="00000143">
      <w:pPr>
        <w:jc w:val="both"/>
        <w:rPr/>
      </w:pPr>
      <w:r w:rsidDel="00000000" w:rsidR="00000000" w:rsidRPr="00000000">
        <w:rPr>
          <w:rtl w:val="0"/>
        </w:rPr>
      </w:r>
    </w:p>
    <w:p w:rsidR="00000000" w:rsidDel="00000000" w:rsidP="00000000" w:rsidRDefault="00000000" w:rsidRPr="00000000" w14:paraId="00000144">
      <w:pPr>
        <w:jc w:val="both"/>
        <w:rPr>
          <w:b w:val="1"/>
        </w:rPr>
      </w:pPr>
      <w:hyperlink r:id="rId16">
        <w:r w:rsidDel="00000000" w:rsidR="00000000" w:rsidRPr="00000000">
          <w:rPr>
            <w:b w:val="1"/>
            <w:color w:val="0000ff"/>
            <w:u w:val="single"/>
            <w:rtl w:val="0"/>
          </w:rPr>
          <w:t xml:space="preserve">Just Transition Mechanism (JTM)</w:t>
        </w:r>
      </w:hyperlink>
      <w:r w:rsidDel="00000000" w:rsidR="00000000" w:rsidRPr="00000000">
        <w:rPr>
          <w:b w:val="1"/>
          <w:rtl w:val="0"/>
        </w:rPr>
        <w:t xml:space="preserve"> </w:t>
      </w:r>
    </w:p>
    <w:p w:rsidR="00000000" w:rsidDel="00000000" w:rsidP="00000000" w:rsidRDefault="00000000" w:rsidRPr="00000000" w14:paraId="00000145">
      <w:pPr>
        <w:jc w:val="both"/>
        <w:rPr/>
      </w:pPr>
      <w:r w:rsidDel="00000000" w:rsidR="00000000" w:rsidRPr="00000000">
        <w:rPr>
          <w:rtl w:val="0"/>
        </w:rPr>
        <w:t xml:space="preserve">The Just Transition Mechanism aims at ensuring that the transition towards a climate neutral economy happens in a fair way, funding projects in carbon-intensive territories in the EU. Though it concerns only certain territories, it can be very beneficial for municipalities in these regions.</w:t>
      </w:r>
    </w:p>
    <w:p w:rsidR="00000000" w:rsidDel="00000000" w:rsidP="00000000" w:rsidRDefault="00000000" w:rsidRPr="00000000" w14:paraId="00000146">
      <w:pPr>
        <w:jc w:val="both"/>
        <w:rPr/>
      </w:pPr>
      <w:r w:rsidDel="00000000" w:rsidR="00000000" w:rsidRPr="00000000">
        <w:rPr>
          <w:rtl w:val="0"/>
        </w:rPr>
      </w:r>
    </w:p>
    <w:p w:rsidR="00000000" w:rsidDel="00000000" w:rsidP="00000000" w:rsidRDefault="00000000" w:rsidRPr="00000000" w14:paraId="00000147">
      <w:pPr>
        <w:jc w:val="both"/>
        <w:rPr/>
      </w:pPr>
      <w:r w:rsidDel="00000000" w:rsidR="00000000" w:rsidRPr="00000000">
        <w:rPr>
          <w:b w:val="1"/>
          <w:rtl w:val="0"/>
        </w:rPr>
        <w:t xml:space="preserve">Direct management: </w:t>
      </w:r>
      <w:r w:rsidDel="00000000" w:rsidR="00000000" w:rsidRPr="00000000">
        <w:rPr>
          <w:rtl w:val="0"/>
        </w:rPr>
        <w:t xml:space="preserve">Funding under this type is managed directly from the European Commission. Main funds under this type of management are:</w:t>
      </w:r>
    </w:p>
    <w:p w:rsidR="00000000" w:rsidDel="00000000" w:rsidP="00000000" w:rsidRDefault="00000000" w:rsidRPr="00000000" w14:paraId="00000148">
      <w:pPr>
        <w:jc w:val="both"/>
        <w:rPr/>
      </w:pPr>
      <w:r w:rsidDel="00000000" w:rsidR="00000000" w:rsidRPr="00000000">
        <w:rPr>
          <w:rtl w:val="0"/>
        </w:rPr>
      </w:r>
    </w:p>
    <w:p w:rsidR="00000000" w:rsidDel="00000000" w:rsidP="00000000" w:rsidRDefault="00000000" w:rsidRPr="00000000" w14:paraId="00000149">
      <w:pPr>
        <w:jc w:val="both"/>
        <w:rPr>
          <w:b w:val="1"/>
        </w:rPr>
      </w:pPr>
      <w:hyperlink r:id="rId17">
        <w:r w:rsidDel="00000000" w:rsidR="00000000" w:rsidRPr="00000000">
          <w:rPr>
            <w:b w:val="1"/>
            <w:color w:val="0000ff"/>
            <w:u w:val="single"/>
            <w:rtl w:val="0"/>
          </w:rPr>
          <w:t xml:space="preserve">LIFE Programme</w:t>
        </w:r>
      </w:hyperlink>
      <w:r w:rsidDel="00000000" w:rsidR="00000000" w:rsidRPr="00000000">
        <w:rPr>
          <w:rtl w:val="0"/>
        </w:rPr>
      </w:r>
    </w:p>
    <w:p w:rsidR="00000000" w:rsidDel="00000000" w:rsidP="00000000" w:rsidRDefault="00000000" w:rsidRPr="00000000" w14:paraId="0000014A">
      <w:pPr>
        <w:jc w:val="both"/>
        <w:rPr/>
      </w:pPr>
      <w:r w:rsidDel="00000000" w:rsidR="00000000" w:rsidRPr="00000000">
        <w:rPr>
          <w:rtl w:val="0"/>
        </w:rPr>
        <w:t xml:space="preserve">LIFE is a flagship programme of the EU dedicated to environment and climate action. Specifically, LIFE supports projects in climate change mitigation and adaptation, clean energy transition, nature and biodiversity and circular economy and quality of life. The municipalities can apply with project proposals to the proposal calls that are published annually.</w:t>
      </w:r>
    </w:p>
    <w:p w:rsidR="00000000" w:rsidDel="00000000" w:rsidP="00000000" w:rsidRDefault="00000000" w:rsidRPr="00000000" w14:paraId="0000014B">
      <w:pPr>
        <w:jc w:val="both"/>
        <w:rPr/>
      </w:pPr>
      <w:r w:rsidDel="00000000" w:rsidR="00000000" w:rsidRPr="00000000">
        <w:rPr>
          <w:rtl w:val="0"/>
        </w:rPr>
      </w:r>
    </w:p>
    <w:p w:rsidR="00000000" w:rsidDel="00000000" w:rsidP="00000000" w:rsidRDefault="00000000" w:rsidRPr="00000000" w14:paraId="0000014C">
      <w:pPr>
        <w:jc w:val="both"/>
        <w:rPr>
          <w:b w:val="1"/>
        </w:rPr>
      </w:pPr>
      <w:hyperlink r:id="rId18">
        <w:r w:rsidDel="00000000" w:rsidR="00000000" w:rsidRPr="00000000">
          <w:rPr>
            <w:b w:val="1"/>
            <w:color w:val="0000ff"/>
            <w:u w:val="single"/>
            <w:rtl w:val="0"/>
          </w:rPr>
          <w:t xml:space="preserve">Horizon Europe</w:t>
        </w:r>
      </w:hyperlink>
      <w:r w:rsidDel="00000000" w:rsidR="00000000" w:rsidRPr="00000000">
        <w:rPr>
          <w:b w:val="1"/>
          <w:rtl w:val="0"/>
        </w:rPr>
        <w:t xml:space="preserve"> </w:t>
      </w:r>
    </w:p>
    <w:p w:rsidR="00000000" w:rsidDel="00000000" w:rsidP="00000000" w:rsidRDefault="00000000" w:rsidRPr="00000000" w14:paraId="0000014D">
      <w:pPr>
        <w:jc w:val="both"/>
        <w:rPr/>
      </w:pPr>
      <w:r w:rsidDel="00000000" w:rsidR="00000000" w:rsidRPr="00000000">
        <w:rPr>
          <w:rtl w:val="0"/>
        </w:rPr>
        <w:t xml:space="preserve">Horizon Europe is the EU's key funding mechanism for research and innovation. While not focused exclusively on climate action, climate change and sustainability are major priorities. While Horizon Europe may be perceived as primarily for research institutions and businesses, local governments can actively engage with Horizon gaining that way access to cutting edge knowledge and innovative solutions.</w:t>
      </w:r>
    </w:p>
    <w:p w:rsidR="00000000" w:rsidDel="00000000" w:rsidP="00000000" w:rsidRDefault="00000000" w:rsidRPr="00000000" w14:paraId="0000014E">
      <w:pPr>
        <w:jc w:val="both"/>
        <w:rPr/>
      </w:pPr>
      <w:r w:rsidDel="00000000" w:rsidR="00000000" w:rsidRPr="00000000">
        <w:rPr>
          <w:rtl w:val="0"/>
        </w:rPr>
      </w:r>
    </w:p>
    <w:p w:rsidR="00000000" w:rsidDel="00000000" w:rsidP="00000000" w:rsidRDefault="00000000" w:rsidRPr="00000000" w14:paraId="0000014F">
      <w:pPr>
        <w:jc w:val="both"/>
        <w:rPr/>
      </w:pPr>
      <w:r w:rsidDel="00000000" w:rsidR="00000000" w:rsidRPr="00000000">
        <w:rPr>
          <w:rtl w:val="0"/>
        </w:rPr>
        <w:t xml:space="preserve">A comprehensive guide</w:t>
      </w:r>
      <w:r w:rsidDel="00000000" w:rsidR="00000000" w:rsidRPr="00000000">
        <w:rPr>
          <w:vertAlign w:val="superscript"/>
        </w:rPr>
        <w:footnoteReference w:customMarkFollows="0" w:id="13"/>
      </w:r>
      <w:r w:rsidDel="00000000" w:rsidR="00000000" w:rsidRPr="00000000">
        <w:rPr>
          <w:rtl w:val="0"/>
        </w:rPr>
        <w:t xml:space="preserve"> on all EU funding opportunities for cities related to climate change can be found at the EU Covenant of Mayors website. Other than the funding sources and a short description of the fund, the tool included information on who can apply, the type of funding and the project size. Also on every fund there are useful links to the fund webpages and implemented projects that were financed from the specific fund.</w:t>
      </w:r>
    </w:p>
    <w:p w:rsidR="00000000" w:rsidDel="00000000" w:rsidP="00000000" w:rsidRDefault="00000000" w:rsidRPr="00000000" w14:paraId="00000150">
      <w:pPr>
        <w:jc w:val="both"/>
        <w:rPr>
          <w:b w:val="1"/>
        </w:rPr>
      </w:pPr>
      <w:r w:rsidDel="00000000" w:rsidR="00000000" w:rsidRPr="00000000">
        <w:rPr>
          <w:rtl w:val="0"/>
        </w:rPr>
      </w:r>
    </w:p>
    <w:p w:rsidR="00000000" w:rsidDel="00000000" w:rsidP="00000000" w:rsidRDefault="00000000" w:rsidRPr="00000000" w14:paraId="00000151">
      <w:pPr>
        <w:jc w:val="both"/>
        <w:rPr/>
      </w:pPr>
      <w:r w:rsidDel="00000000" w:rsidR="00000000" w:rsidRPr="00000000">
        <w:rPr>
          <w:rtl w:val="0"/>
        </w:rPr>
      </w:r>
    </w:p>
    <w:p w:rsidR="00000000" w:rsidDel="00000000" w:rsidP="00000000" w:rsidRDefault="00000000" w:rsidRPr="00000000" w14:paraId="00000152">
      <w:pPr>
        <w:jc w:val="both"/>
        <w:rPr/>
      </w:pPr>
      <w:r w:rsidDel="00000000" w:rsidR="00000000" w:rsidRPr="00000000">
        <w:rPr>
          <w:rtl w:val="0"/>
        </w:rPr>
      </w:r>
    </w:p>
    <w:p w:rsidR="00000000" w:rsidDel="00000000" w:rsidP="00000000" w:rsidRDefault="00000000" w:rsidRPr="00000000" w14:paraId="00000153">
      <w:pPr>
        <w:jc w:val="both"/>
        <w:rPr/>
      </w:pPr>
      <w:r w:rsidDel="00000000" w:rsidR="00000000" w:rsidRPr="00000000">
        <w:rPr>
          <w:rtl w:val="0"/>
        </w:rPr>
      </w:r>
    </w:p>
    <w:p w:rsidR="00000000" w:rsidDel="00000000" w:rsidP="00000000" w:rsidRDefault="00000000" w:rsidRPr="00000000" w14:paraId="00000154">
      <w:pPr>
        <w:jc w:val="both"/>
        <w:rPr>
          <w:b w:val="1"/>
        </w:rPr>
      </w:pPr>
      <w:r w:rsidDel="00000000" w:rsidR="00000000" w:rsidRPr="00000000">
        <w:rPr>
          <w:rtl w:val="0"/>
        </w:rPr>
      </w:r>
    </w:p>
    <w:p w:rsidR="00000000" w:rsidDel="00000000" w:rsidP="00000000" w:rsidRDefault="00000000" w:rsidRPr="00000000" w14:paraId="00000155">
      <w:pPr>
        <w:jc w:val="both"/>
        <w:rPr/>
      </w:pPr>
      <w:r w:rsidDel="00000000" w:rsidR="00000000" w:rsidRPr="00000000">
        <w:rPr>
          <w:rtl w:val="0"/>
        </w:rPr>
      </w:r>
    </w:p>
    <w:p w:rsidR="00000000" w:rsidDel="00000000" w:rsidP="00000000" w:rsidRDefault="00000000" w:rsidRPr="00000000" w14:paraId="00000156">
      <w:pPr>
        <w:jc w:val="both"/>
        <w:rPr/>
      </w:pPr>
      <w:r w:rsidDel="00000000" w:rsidR="00000000" w:rsidRPr="00000000">
        <w:rPr>
          <w:rtl w:val="0"/>
        </w:rPr>
      </w:r>
    </w:p>
    <w:p w:rsidR="00000000" w:rsidDel="00000000" w:rsidP="00000000" w:rsidRDefault="00000000" w:rsidRPr="00000000" w14:paraId="00000157">
      <w:pPr>
        <w:jc w:val="both"/>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sectPr>
      <w:headerReference r:id="rId19" w:type="default"/>
      <w:footerReference r:id="rId20" w:type="default"/>
      <w:type w:val="continuous"/>
      <w:pgSz w:h="16838" w:w="11906" w:orient="portrait"/>
      <w:pgMar w:bottom="1418" w:top="2244" w:left="1984"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Arial"/>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2019.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The European Green Deal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Accessed 4 Feb. 2025. </w:t>
      </w: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https://commission.europa.eu/strategy-and-policy/priorities-2019-2024/european-green-deal_en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Council. 2014.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European Council (23 and 24 October 2014)‒ Conclusions. </w:t>
      </w:r>
      <w:hyperlink r:id="rId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https://data.consilium.europa.eu/doc/document/ST-169-2014-INIT/en/pdf</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r>
    </w:p>
  </w:footnote>
  <w:footnote w:id="2">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Union. 2021.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REGULATION (EU) 2021/1119 establishing the framework for achieving climate neutrality and amending Regulations (EC) No 401/2009 and (EU) 2018/1999 (‘European Climate Law’). </w:t>
      </w:r>
      <w:hyperlink r:id="rId3">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https://eur-lex.europa.eu/legal-content/EN/TXT/?uri=CELEX:32021R1119</w:t>
        </w:r>
      </w:hyperlink>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3">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EU Emissions Trading System (EU ETS).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Accessed 7 Feb. 2025. </w:t>
      </w:r>
      <w:hyperlink r:id="rId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https://climate.ec.europa.eu/eu-action/eu-emissions-trading-system-eu-ets_en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4">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Renewable Energy Directive.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Accessed 7 Feb. 2025. </w:t>
      </w:r>
      <w:hyperlink r:id="rId5">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https://energy.ec.europa.eu/topics/renewable-energy/renewable-energy-directive-targets-and-rules/renewable-energy-directive_en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5">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Energy Efficiency Directive.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Accessed 7 Feb. 2025. </w:t>
      </w:r>
      <w:hyperlink r:id="rId6">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https://energy.ec.europa.eu/topics/energy-efficiency/energy-efficiency-targets-directive-and-rules/energy-efficiency-directive_en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footnote>
  <w:footnote w:id="6">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Environment Agency. 2024.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Greenhouse gas emissions from land use, land use change and forestry in Europe.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hyperlink r:id="rId7">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https://www.eea.europa.eu/en/analysis/indicators/greenhouse-gas-emissions-from-land</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r>
    </w:p>
  </w:footnote>
  <w:footnote w:id="7">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2021.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EXECUTIVE SUMMARY OF THE IMPACT ASSESSMENT REPORT Accompanying the document Forging a climate-resilient Europe - The new EU Strategy on Adaptation to Climate Change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https://eur-lex.europa.eu/legal-content/EN/TXT/?uri=SWD:2021:26:FIN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8">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N/A.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Covenant of Mayors-Europe.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Accessed 11Feb. 2025.</w:t>
      </w:r>
      <w:hyperlink r:id="rId9">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https://eu-mayors.ec.europa.eu/en/home</w:t>
        </w:r>
      </w:hyperlink>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p>
  </w:footnote>
  <w:footnote w:id="9">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 N/A. Key Firgures. Accessed 11 Feb. 2025. c</w:t>
      </w:r>
      <w:hyperlink r:id="rId10">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https://eu-mayors.ec.europa.eu/en/key_figures</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0">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Global Covenant of Mayors for Climate &amp; Energy. 2024.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The 2024 Global Covenant</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of Mayors Impact Report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https://www.globalcovenantofmayors.org/wp-content/uploads/2024/11/GCoM-Impact-Report-24.pdf</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1">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 Covenant of Mayors. 2021.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Commitment document - Stepping up action for a fairer, climate-neutral Europe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https://eu-mayors.ec.europa.eu/system/files/2022-07/eumayors-commitment-2021-EN.docx</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2">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European Commission.N/A.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Funding by management mode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Accessed 13/2/2025. </w:t>
      </w:r>
      <w:hyperlink r:id="rId13">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https://commission.europa.eu/funding-tenders/find-funding/funding-management-mode_en</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 w:id="13">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Covenant of Mayors – Europe. N/A.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Financing opportunities.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Accessed 14/2/2025. </w:t>
      </w: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https://eu-mayors.ec.europa.eu/en/resources/funding_guide</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pPr w:leftFromText="142" w:rightFromText="142" w:topFromText="0" w:bottomFromText="374" w:vertAnchor="page" w:horzAnchor="page" w:tblpX="1509" w:tblpY="0"/>
      <w:tblW w:w="9500.000000000002" w:type="dxa"/>
      <w:jc w:val="left"/>
      <w:tblBorders>
        <w:top w:color="ccccff" w:space="0" w:sz="8" w:val="single"/>
        <w:left w:color="ccccff" w:space="0" w:sz="8" w:val="single"/>
        <w:bottom w:color="ccccff" w:space="0" w:sz="8" w:val="single"/>
        <w:right w:color="ccccff" w:space="0" w:sz="8" w:val="single"/>
        <w:insideV w:color="ccccff" w:space="0" w:sz="8" w:val="single"/>
      </w:tblBorders>
      <w:tblLayout w:type="fixed"/>
      <w:tblLook w:val="0000"/>
    </w:tblPr>
    <w:tblGrid>
      <w:gridCol w:w="1845"/>
      <w:gridCol w:w="1418"/>
      <w:gridCol w:w="4394"/>
      <w:gridCol w:w="851"/>
      <w:gridCol w:w="992"/>
      <w:tblGridChange w:id="0">
        <w:tblGrid>
          <w:gridCol w:w="1845"/>
          <w:gridCol w:w="1418"/>
          <w:gridCol w:w="4394"/>
          <w:gridCol w:w="851"/>
          <w:gridCol w:w="992"/>
        </w:tblGrid>
      </w:tblGridChange>
    </w:tblGrid>
    <w:tr>
      <w:trPr>
        <w:cantSplit w:val="0"/>
        <w:trHeight w:val="240" w:hRule="atLeast"/>
        <w:tblHeader w:val="0"/>
      </w:trPr>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46992</wp:posOffset>
                </wp:positionH>
                <wp:positionV relativeFrom="paragraph">
                  <wp:posOffset>34925</wp:posOffset>
                </wp:positionV>
                <wp:extent cx="1028700" cy="421640"/>
                <wp:effectExtent b="0" l="0" r="0" t="0"/>
                <wp:wrapNone/>
                <wp:docPr descr="UIP:UIP:COMUNICACIÓN:IMAGEN CIRCE:nueva imagen CIRCE:pruebas nuevo logo:Logo Circe 2.jpeg" id="1994631455" name="image2.jpg"/>
                <a:graphic>
                  <a:graphicData uri="http://schemas.openxmlformats.org/drawingml/2006/picture">
                    <pic:pic>
                      <pic:nvPicPr>
                        <pic:cNvPr descr="UIP:UIP:COMUNICACIÓN:IMAGEN CIRCE:nueva imagen CIRCE:pruebas nuevo logo:Logo Circe 2.jpeg" id="0" name="image2.jpg"/>
                        <pic:cNvPicPr preferRelativeResize="0"/>
                      </pic:nvPicPr>
                      <pic:blipFill>
                        <a:blip r:embed="rId1"/>
                        <a:srcRect b="14424" l="1741" r="3003" t="12381"/>
                        <a:stretch>
                          <a:fillRect/>
                        </a:stretch>
                      </pic:blipFill>
                      <pic:spPr>
                        <a:xfrm>
                          <a:off x="0" y="0"/>
                          <a:ext cx="1028700" cy="421640"/>
                        </a:xfrm>
                        <a:prstGeom prst="rect"/>
                        <a:ln/>
                      </pic:spPr>
                    </pic:pic>
                  </a:graphicData>
                </a:graphic>
              </wp:anchor>
            </w:drawing>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DOCUMENTO</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VERSIÓN</w:t>
          </w:r>
        </w:p>
      </w:tc>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PROYECTO</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REFERE</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w:t>
          </w:r>
        </w:p>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AUTOR:</w:t>
          </w:r>
        </w:p>
      </w:tc>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REFERENCIA</w:t>
          </w:r>
        </w:p>
      </w:tc>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"Category”</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FECHA:</w:t>
          </w:r>
        </w:p>
      </w:tc>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3399"/>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3399"/>
              <w:sz w:val="16"/>
              <w:szCs w:val="16"/>
              <w:u w:val="none"/>
              <w:shd w:fill="auto" w:val="clear"/>
              <w:vertAlign w:val="baseline"/>
              <w:rtl w:val="0"/>
            </w:rPr>
            <w:t xml:space="preserve">14/2/25</w:t>
          </w:r>
        </w:p>
      </w:tc>
    </w:tr>
  </w:tbl>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621224" cy="674672"/>
          <wp:effectExtent b="0" l="0" r="0" t="0"/>
          <wp:docPr descr="metin, ekran görüntüsü, yazı tipi, çizgi içeren bir resim&#10;&#10;Açıklama otomatik olarak oluşturuldu" id="1994631453"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1"/>
                  <a:srcRect b="0" l="0" r="0" t="0"/>
                  <a:stretch>
                    <a:fillRect/>
                  </a:stretch>
                </pic:blipFill>
                <pic:spPr>
                  <a:xfrm>
                    <a:off x="0" y="0"/>
                    <a:ext cx="1621224" cy="674672"/>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Version: </w:t>
    </w:r>
    <w:r w:rsidDel="00000000" w:rsidR="00000000" w:rsidRPr="00000000">
      <w:rPr>
        <w:color w:val="70800e"/>
        <w:sz w:val="20"/>
        <w:szCs w:val="20"/>
        <w:rtl w:val="0"/>
      </w:rPr>
      <w:t xml:space="preserve">Final</w:t>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ab/>
      <w:t xml:space="preserve">Date: </w:t>
    </w:r>
    <w:r w:rsidDel="00000000" w:rsidR="00000000" w:rsidRPr="00000000">
      <w:rPr>
        <w:color w:val="70800e"/>
        <w:sz w:val="20"/>
        <w:szCs w:val="20"/>
        <w:rtl w:val="0"/>
      </w:rPr>
      <w:t xml:space="preserve">15</w:t>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w:t>
    </w:r>
    <w:r w:rsidDel="00000000" w:rsidR="00000000" w:rsidRPr="00000000">
      <w:rPr>
        <w:color w:val="70800e"/>
        <w:sz w:val="20"/>
        <w:szCs w:val="20"/>
        <w:rtl w:val="0"/>
      </w:rPr>
      <w:t xml:space="preserve">03</w:t>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/202</w:t>
    </w:r>
    <w:r w:rsidDel="00000000" w:rsidR="00000000" w:rsidRPr="00000000">
      <w:rPr>
        <w:color w:val="70800e"/>
        <w:sz w:val="20"/>
        <w:szCs w:val="20"/>
        <w:rtl w:val="0"/>
      </w:rPr>
      <w:t xml:space="preserve">5</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994631449" name=""/>
              <a:graphic>
                <a:graphicData uri="http://schemas.microsoft.com/office/word/2010/wordprocessingShape">
                  <wps:wsp>
                    <wps:cNvCnPr/>
                    <wps:spPr>
                      <a:xfrm>
                        <a:off x="2629922" y="3780000"/>
                        <a:ext cx="5432156" cy="0"/>
                      </a:xfrm>
                      <a:prstGeom prst="straightConnector1">
                        <a:avLst/>
                      </a:prstGeom>
                      <a:noFill/>
                      <a:ln cap="flat" cmpd="sng" w="12700">
                        <a:solidFill>
                          <a:srgbClr val="70800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994631449"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70800e"/>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621224" cy="674672"/>
          <wp:effectExtent b="0" l="0" r="0" t="0"/>
          <wp:docPr descr="metin, ekran görüntüsü, yazı tipi, çizgi içeren bir resim&#10;&#10;Açıklama otomatik olarak oluşturuldu" id="1994631454" name="image1.jpg"/>
          <a:graphic>
            <a:graphicData uri="http://schemas.openxmlformats.org/drawingml/2006/picture">
              <pic:pic>
                <pic:nvPicPr>
                  <pic:cNvPr descr="metin, ekran görüntüsü, yazı tipi, çizgi içeren bir resim&#10;&#10;Açıklama otomatik olarak oluşturuldu" id="0" name="image1.jpg"/>
                  <pic:cNvPicPr preferRelativeResize="0"/>
                </pic:nvPicPr>
                <pic:blipFill>
                  <a:blip r:embed="rId1"/>
                  <a:srcRect b="0" l="0" r="0" t="0"/>
                  <a:stretch>
                    <a:fillRect/>
                  </a:stretch>
                </pic:blipFill>
                <pic:spPr>
                  <a:xfrm>
                    <a:off x="0" y="0"/>
                    <a:ext cx="1621224" cy="674672"/>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70800e"/>
        <w:sz w:val="20"/>
        <w:szCs w:val="20"/>
        <w:u w:val="none"/>
        <w:shd w:fill="auto" w:val="clear"/>
        <w:vertAlign w:val="baseline"/>
        <w:rtl w:val="0"/>
      </w:rPr>
      <w:t xml:space="preserve">Version: 01</w:t>
      <w:tab/>
      <w:t xml:space="preserve">Date: 27/01/2025</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994631451" name=""/>
              <a:graphic>
                <a:graphicData uri="http://schemas.microsoft.com/office/word/2010/wordprocessingShape">
                  <wps:wsp>
                    <wps:cNvCnPr/>
                    <wps:spPr>
                      <a:xfrm>
                        <a:off x="2629922" y="3780000"/>
                        <a:ext cx="5432156" cy="0"/>
                      </a:xfrm>
                      <a:prstGeom prst="straightConnector1">
                        <a:avLst/>
                      </a:prstGeom>
                      <a:noFill/>
                      <a:ln cap="flat" cmpd="sng" w="12700">
                        <a:solidFill>
                          <a:srgbClr val="70800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660400</wp:posOffset>
              </wp:positionV>
              <wp:extent cx="0" cy="12700"/>
              <wp:effectExtent b="0" l="0" r="0" t="0"/>
              <wp:wrapNone/>
              <wp:docPr id="199463145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0" cy="127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9">
    <w:lvl w:ilvl="0">
      <w:start w:val="1"/>
      <w:numFmt w:val="bullet"/>
      <w:lvlText w:val="●"/>
      <w:lvlJc w:val="left"/>
      <w:pPr>
        <w:ind w:left="778" w:hanging="360"/>
      </w:pPr>
      <w:rPr>
        <w:rFonts w:ascii="Noto Sans Symbols" w:cs="Noto Sans Symbols" w:eastAsia="Noto Sans Symbols" w:hAnsi="Noto Sans Symbols"/>
      </w:rPr>
    </w:lvl>
    <w:lvl w:ilvl="1">
      <w:start w:val="1"/>
      <w:numFmt w:val="bullet"/>
      <w:lvlText w:val="o"/>
      <w:lvlJc w:val="left"/>
      <w:pPr>
        <w:ind w:left="1498" w:hanging="360"/>
      </w:pPr>
      <w:rPr>
        <w:rFonts w:ascii="Courier New" w:cs="Courier New" w:eastAsia="Courier New" w:hAnsi="Courier New"/>
      </w:rPr>
    </w:lvl>
    <w:lvl w:ilvl="2">
      <w:start w:val="1"/>
      <w:numFmt w:val="bullet"/>
      <w:lvlText w:val="▪"/>
      <w:lvlJc w:val="left"/>
      <w:pPr>
        <w:ind w:left="2218" w:hanging="360"/>
      </w:pPr>
      <w:rPr>
        <w:rFonts w:ascii="Noto Sans Symbols" w:cs="Noto Sans Symbols" w:eastAsia="Noto Sans Symbols" w:hAnsi="Noto Sans Symbols"/>
      </w:rPr>
    </w:lvl>
    <w:lvl w:ilvl="3">
      <w:start w:val="1"/>
      <w:numFmt w:val="bullet"/>
      <w:lvlText w:val="●"/>
      <w:lvlJc w:val="left"/>
      <w:pPr>
        <w:ind w:left="2938" w:hanging="360"/>
      </w:pPr>
      <w:rPr>
        <w:rFonts w:ascii="Noto Sans Symbols" w:cs="Noto Sans Symbols" w:eastAsia="Noto Sans Symbols" w:hAnsi="Noto Sans Symbols"/>
      </w:rPr>
    </w:lvl>
    <w:lvl w:ilvl="4">
      <w:start w:val="1"/>
      <w:numFmt w:val="bullet"/>
      <w:lvlText w:val="o"/>
      <w:lvlJc w:val="left"/>
      <w:pPr>
        <w:ind w:left="3658" w:hanging="360"/>
      </w:pPr>
      <w:rPr>
        <w:rFonts w:ascii="Courier New" w:cs="Courier New" w:eastAsia="Courier New" w:hAnsi="Courier New"/>
      </w:rPr>
    </w:lvl>
    <w:lvl w:ilvl="5">
      <w:start w:val="1"/>
      <w:numFmt w:val="bullet"/>
      <w:lvlText w:val="▪"/>
      <w:lvlJc w:val="left"/>
      <w:pPr>
        <w:ind w:left="4378" w:hanging="360"/>
      </w:pPr>
      <w:rPr>
        <w:rFonts w:ascii="Noto Sans Symbols" w:cs="Noto Sans Symbols" w:eastAsia="Noto Sans Symbols" w:hAnsi="Noto Sans Symbols"/>
      </w:rPr>
    </w:lvl>
    <w:lvl w:ilvl="6">
      <w:start w:val="1"/>
      <w:numFmt w:val="bullet"/>
      <w:lvlText w:val="●"/>
      <w:lvlJc w:val="left"/>
      <w:pPr>
        <w:ind w:left="5098" w:hanging="360"/>
      </w:pPr>
      <w:rPr>
        <w:rFonts w:ascii="Noto Sans Symbols" w:cs="Noto Sans Symbols" w:eastAsia="Noto Sans Symbols" w:hAnsi="Noto Sans Symbols"/>
      </w:rPr>
    </w:lvl>
    <w:lvl w:ilvl="7">
      <w:start w:val="1"/>
      <w:numFmt w:val="bullet"/>
      <w:lvlText w:val="o"/>
      <w:lvlJc w:val="left"/>
      <w:pPr>
        <w:ind w:left="5818" w:hanging="360"/>
      </w:pPr>
      <w:rPr>
        <w:rFonts w:ascii="Courier New" w:cs="Courier New" w:eastAsia="Courier New" w:hAnsi="Courier New"/>
      </w:rPr>
    </w:lvl>
    <w:lvl w:ilvl="8">
      <w:start w:val="1"/>
      <w:numFmt w:val="bullet"/>
      <w:lvlText w:val="▪"/>
      <w:lvlJc w:val="left"/>
      <w:pPr>
        <w:ind w:left="6538"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480" w:lineRule="auto"/>
      <w:ind w:left="720" w:hanging="360"/>
    </w:pPr>
    <w:rPr>
      <w:b w:val="1"/>
      <w:color w:val="70800e"/>
      <w:sz w:val="36"/>
      <w:szCs w:val="36"/>
    </w:rPr>
  </w:style>
  <w:style w:type="paragraph" w:styleId="Heading2">
    <w:name w:val="heading 2"/>
    <w:basedOn w:val="Normal"/>
    <w:next w:val="Normal"/>
    <w:pPr>
      <w:keepNext w:val="1"/>
      <w:keepLines w:val="1"/>
      <w:spacing w:after="120" w:before="360" w:lineRule="auto"/>
    </w:pPr>
    <w:rPr>
      <w:b w:val="1"/>
      <w:color w:val="70800e"/>
      <w:sz w:val="32"/>
      <w:szCs w:val="32"/>
    </w:rPr>
  </w:style>
  <w:style w:type="paragraph" w:styleId="Heading3">
    <w:name w:val="heading 3"/>
    <w:basedOn w:val="Normal"/>
    <w:next w:val="Normal"/>
    <w:pPr>
      <w:keepNext w:val="1"/>
      <w:keepLines w:val="1"/>
      <w:spacing w:after="60" w:before="200" w:lineRule="auto"/>
      <w:ind w:left="2160" w:hanging="360"/>
    </w:pPr>
    <w:rPr>
      <w:b w:val="1"/>
      <w:color w:val="70800e"/>
      <w:sz w:val="28"/>
      <w:szCs w:val="28"/>
    </w:rPr>
  </w:style>
  <w:style w:type="paragraph" w:styleId="Heading4">
    <w:name w:val="heading 4"/>
    <w:basedOn w:val="Normal"/>
    <w:next w:val="Normal"/>
    <w:pPr>
      <w:keepNext w:val="1"/>
      <w:keepLines w:val="1"/>
      <w:spacing w:after="60" w:before="200" w:lineRule="auto"/>
      <w:ind w:left="2880" w:hanging="360"/>
    </w:pPr>
    <w:rPr>
      <w:b w:val="1"/>
      <w:color w:val="70800e"/>
    </w:rPr>
  </w:style>
  <w:style w:type="paragraph" w:styleId="Heading5">
    <w:name w:val="heading 5"/>
    <w:basedOn w:val="Normal"/>
    <w:next w:val="Normal"/>
    <w:pPr>
      <w:keepNext w:val="1"/>
      <w:keepLines w:val="1"/>
      <w:spacing w:before="200" w:lineRule="auto"/>
      <w:ind w:left="3600" w:hanging="360"/>
    </w:pPr>
    <w:rPr>
      <w:rFonts w:ascii="Cambria" w:cs="Cambria" w:eastAsia="Cambria" w:hAnsi="Cambria"/>
      <w:color w:val="243f60"/>
    </w:rPr>
  </w:style>
  <w:style w:type="paragraph" w:styleId="Heading6">
    <w:name w:val="heading 6"/>
    <w:basedOn w:val="Normal"/>
    <w:next w:val="Normal"/>
    <w:pPr>
      <w:keepNext w:val="1"/>
      <w:keepLines w:val="1"/>
      <w:spacing w:before="200" w:lineRule="auto"/>
      <w:ind w:left="4320" w:hanging="360"/>
    </w:pPr>
    <w:rPr>
      <w:rFonts w:ascii="Cambria" w:cs="Cambria" w:eastAsia="Cambria" w:hAnsi="Cambria"/>
      <w:i w:val="1"/>
      <w:color w:val="243f6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480" w:lineRule="auto"/>
      <w:ind w:left="432" w:hanging="432"/>
    </w:pPr>
    <w:rPr>
      <w:b w:val="1"/>
      <w:color w:val="70800e"/>
      <w:sz w:val="36"/>
      <w:szCs w:val="36"/>
    </w:rPr>
  </w:style>
  <w:style w:type="paragraph" w:styleId="Heading2">
    <w:name w:val="heading 2"/>
    <w:basedOn w:val="Normal"/>
    <w:next w:val="Normal"/>
    <w:pPr>
      <w:keepNext w:val="1"/>
      <w:keepLines w:val="1"/>
      <w:spacing w:after="120" w:before="360" w:lineRule="auto"/>
    </w:pPr>
    <w:rPr>
      <w:b w:val="1"/>
      <w:color w:val="70800e"/>
      <w:sz w:val="32"/>
      <w:szCs w:val="32"/>
    </w:rPr>
  </w:style>
  <w:style w:type="paragraph" w:styleId="Heading3">
    <w:name w:val="heading 3"/>
    <w:basedOn w:val="Normal"/>
    <w:next w:val="Normal"/>
    <w:pPr>
      <w:keepNext w:val="1"/>
      <w:keepLines w:val="1"/>
      <w:spacing w:after="60" w:before="200" w:lineRule="auto"/>
      <w:ind w:left="720" w:hanging="720"/>
    </w:pPr>
    <w:rPr>
      <w:b w:val="1"/>
      <w:color w:val="70800e"/>
      <w:sz w:val="28"/>
      <w:szCs w:val="28"/>
    </w:rPr>
  </w:style>
  <w:style w:type="paragraph" w:styleId="Heading4">
    <w:name w:val="heading 4"/>
    <w:basedOn w:val="Normal"/>
    <w:next w:val="Normal"/>
    <w:pPr>
      <w:keepNext w:val="1"/>
      <w:keepLines w:val="1"/>
      <w:spacing w:after="60" w:before="200" w:lineRule="auto"/>
      <w:ind w:left="864" w:hanging="864"/>
    </w:pPr>
    <w:rPr>
      <w:b w:val="1"/>
      <w:color w:val="70800e"/>
    </w:rPr>
  </w:style>
  <w:style w:type="paragraph" w:styleId="Heading5">
    <w:name w:val="heading 5"/>
    <w:basedOn w:val="Normal"/>
    <w:next w:val="Normal"/>
    <w:pPr>
      <w:keepNext w:val="1"/>
      <w:keepLines w:val="1"/>
      <w:spacing w:before="200" w:lineRule="auto"/>
      <w:ind w:left="1008" w:hanging="1008"/>
    </w:pPr>
    <w:rPr>
      <w:rFonts w:ascii="Cambria" w:cs="Cambria" w:eastAsia="Cambria" w:hAnsi="Cambria"/>
      <w:color w:val="243f60"/>
    </w:rPr>
  </w:style>
  <w:style w:type="paragraph" w:styleId="Heading6">
    <w:name w:val="heading 6"/>
    <w:basedOn w:val="Normal"/>
    <w:next w:val="Normal"/>
    <w:pPr>
      <w:keepNext w:val="1"/>
      <w:keepLines w:val="1"/>
      <w:spacing w:before="200" w:lineRule="auto"/>
      <w:ind w:left="1152" w:hanging="1152"/>
    </w:pPr>
    <w:rPr>
      <w:rFonts w:ascii="Cambria" w:cs="Cambria" w:eastAsia="Cambria" w:hAnsi="Cambria"/>
      <w:i w:val="1"/>
      <w:color w:val="243f6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rsid w:val="009907CF"/>
    <w:rPr>
      <w:rFonts w:ascii="Times New Roman" w:eastAsia="Times New Roman" w:hAnsi="Times New Roman"/>
      <w:sz w:val="24"/>
      <w:szCs w:val="24"/>
      <w:lang w:eastAsia="tr-TR" w:val="en-US"/>
    </w:rPr>
  </w:style>
  <w:style w:type="paragraph" w:styleId="Heading1">
    <w:name w:val="heading 1"/>
    <w:aliases w:val="Títle 1"/>
    <w:basedOn w:val="Normal"/>
    <w:next w:val="Normal"/>
    <w:link w:val="Heading1Char"/>
    <w:uiPriority w:val="9"/>
    <w:qFormat w:val="1"/>
    <w:rsid w:val="006D729E"/>
    <w:pPr>
      <w:keepNext w:val="1"/>
      <w:keepLines w:val="1"/>
      <w:numPr>
        <w:numId w:val="4"/>
      </w:numPr>
      <w:spacing w:after="240" w:before="480"/>
      <w:outlineLvl w:val="0"/>
    </w:pPr>
    <w:rPr>
      <w:b w:val="1"/>
      <w:bCs w:val="1"/>
      <w:color w:val="70800e"/>
      <w:sz w:val="36"/>
    </w:rPr>
  </w:style>
  <w:style w:type="paragraph" w:styleId="Heading2">
    <w:name w:val="heading 2"/>
    <w:aliases w:val="Title 2"/>
    <w:basedOn w:val="Normal"/>
    <w:next w:val="Normal"/>
    <w:link w:val="Heading2Char"/>
    <w:autoRedefine w:val="1"/>
    <w:uiPriority w:val="9"/>
    <w:unhideWhenUsed w:val="1"/>
    <w:qFormat w:val="1"/>
    <w:rsid w:val="007D3D28"/>
    <w:pPr>
      <w:keepNext w:val="1"/>
      <w:keepLines w:val="1"/>
      <w:spacing w:after="120" w:before="360"/>
      <w:outlineLvl w:val="1"/>
    </w:pPr>
    <w:rPr>
      <w:b w:val="1"/>
      <w:bCs w:val="1"/>
      <w:color w:val="70800e"/>
      <w:sz w:val="32"/>
      <w:szCs w:val="26"/>
    </w:rPr>
  </w:style>
  <w:style w:type="paragraph" w:styleId="Heading3">
    <w:name w:val="heading 3"/>
    <w:aliases w:val="Title 3"/>
    <w:basedOn w:val="Normal"/>
    <w:next w:val="Normal"/>
    <w:link w:val="Heading3Char"/>
    <w:uiPriority w:val="9"/>
    <w:unhideWhenUsed w:val="1"/>
    <w:qFormat w:val="1"/>
    <w:rsid w:val="006D729E"/>
    <w:pPr>
      <w:keepNext w:val="1"/>
      <w:keepLines w:val="1"/>
      <w:numPr>
        <w:ilvl w:val="2"/>
        <w:numId w:val="4"/>
      </w:numPr>
      <w:spacing w:after="60" w:before="200"/>
      <w:outlineLvl w:val="2"/>
    </w:pPr>
    <w:rPr>
      <w:b w:val="1"/>
      <w:bCs w:val="1"/>
      <w:color w:val="70800e"/>
      <w:sz w:val="28"/>
    </w:rPr>
  </w:style>
  <w:style w:type="paragraph" w:styleId="Heading4">
    <w:name w:val="heading 4"/>
    <w:aliases w:val="Title 4"/>
    <w:basedOn w:val="Normal"/>
    <w:next w:val="Normal"/>
    <w:link w:val="Heading4Char"/>
    <w:uiPriority w:val="9"/>
    <w:unhideWhenUsed w:val="1"/>
    <w:qFormat w:val="1"/>
    <w:rsid w:val="006D729E"/>
    <w:pPr>
      <w:keepNext w:val="1"/>
      <w:keepLines w:val="1"/>
      <w:numPr>
        <w:ilvl w:val="3"/>
        <w:numId w:val="4"/>
      </w:numPr>
      <w:spacing w:after="60" w:before="200"/>
      <w:outlineLvl w:val="3"/>
    </w:pPr>
    <w:rPr>
      <w:b w:val="1"/>
      <w:bCs w:val="1"/>
      <w:iCs w:val="1"/>
      <w:color w:val="70800e"/>
    </w:rPr>
  </w:style>
  <w:style w:type="paragraph" w:styleId="Heading5">
    <w:name w:val="heading 5"/>
    <w:aliases w:val="Title 5"/>
    <w:basedOn w:val="Normal"/>
    <w:next w:val="Normal"/>
    <w:link w:val="Heading5Char"/>
    <w:uiPriority w:val="9"/>
    <w:unhideWhenUsed w:val="1"/>
    <w:rsid w:val="004442BF"/>
    <w:pPr>
      <w:keepNext w:val="1"/>
      <w:keepLines w:val="1"/>
      <w:numPr>
        <w:ilvl w:val="4"/>
        <w:numId w:val="4"/>
      </w:numPr>
      <w:spacing w:before="200"/>
      <w:outlineLvl w:val="4"/>
    </w:pPr>
    <w:rPr>
      <w:rFonts w:ascii="Cambria" w:hAnsi="Cambria"/>
      <w:color w:val="243f60"/>
    </w:rPr>
  </w:style>
  <w:style w:type="paragraph" w:styleId="Heading6">
    <w:name w:val="heading 6"/>
    <w:basedOn w:val="Normal"/>
    <w:next w:val="Normal"/>
    <w:link w:val="Heading6Char"/>
    <w:uiPriority w:val="9"/>
    <w:unhideWhenUsed w:val="1"/>
    <w:rsid w:val="004442BF"/>
    <w:pPr>
      <w:keepNext w:val="1"/>
      <w:keepLines w:val="1"/>
      <w:numPr>
        <w:ilvl w:val="5"/>
        <w:numId w:val="4"/>
      </w:numPr>
      <w:spacing w:before="200"/>
      <w:outlineLvl w:val="5"/>
    </w:pPr>
    <w:rPr>
      <w:rFonts w:ascii="Cambria" w:hAnsi="Cambria"/>
      <w:i w:val="1"/>
      <w:iCs w:val="1"/>
      <w:color w:val="243f60"/>
    </w:rPr>
  </w:style>
  <w:style w:type="paragraph" w:styleId="Heading7">
    <w:name w:val="heading 7"/>
    <w:basedOn w:val="Normal"/>
    <w:next w:val="Normal"/>
    <w:link w:val="Heading7Char"/>
    <w:uiPriority w:val="9"/>
    <w:semiHidden w:val="1"/>
    <w:unhideWhenUsed w:val="1"/>
    <w:rsid w:val="004442BF"/>
    <w:pPr>
      <w:keepNext w:val="1"/>
      <w:keepLines w:val="1"/>
      <w:numPr>
        <w:ilvl w:val="6"/>
        <w:numId w:val="4"/>
      </w:numPr>
      <w:spacing w:before="200"/>
      <w:outlineLvl w:val="6"/>
    </w:pPr>
    <w:rPr>
      <w:rFonts w:ascii="Cambria" w:hAnsi="Cambria"/>
      <w:i w:val="1"/>
      <w:iCs w:val="1"/>
      <w:color w:val="404040"/>
    </w:rPr>
  </w:style>
  <w:style w:type="paragraph" w:styleId="Heading8">
    <w:name w:val="heading 8"/>
    <w:basedOn w:val="Normal"/>
    <w:next w:val="Normal"/>
    <w:link w:val="Heading8Char"/>
    <w:uiPriority w:val="9"/>
    <w:semiHidden w:val="1"/>
    <w:unhideWhenUsed w:val="1"/>
    <w:qFormat w:val="1"/>
    <w:rsid w:val="004442BF"/>
    <w:pPr>
      <w:keepNext w:val="1"/>
      <w:keepLines w:val="1"/>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val="1"/>
    <w:unhideWhenUsed w:val="1"/>
    <w:qFormat w:val="1"/>
    <w:rsid w:val="004442BF"/>
    <w:pPr>
      <w:keepNext w:val="1"/>
      <w:keepLines w:val="1"/>
      <w:numPr>
        <w:ilvl w:val="8"/>
        <w:numId w:val="4"/>
      </w:numPr>
      <w:spacing w:before="200"/>
      <w:outlineLvl w:val="8"/>
    </w:pPr>
    <w:rPr>
      <w:rFonts w:ascii="Cambria" w:hAnsi="Cambria"/>
      <w:i w:val="1"/>
      <w:iCs w:val="1"/>
      <w:color w:val="404040"/>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A24EEF"/>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24EEF"/>
    <w:rPr>
      <w:rFonts w:ascii="Tahoma" w:cs="Tahoma" w:hAnsi="Tahoma"/>
      <w:sz w:val="16"/>
      <w:szCs w:val="16"/>
    </w:rPr>
  </w:style>
  <w:style w:type="paragraph" w:styleId="Header">
    <w:name w:val="header"/>
    <w:basedOn w:val="Normal"/>
    <w:link w:val="HeaderChar"/>
    <w:uiPriority w:val="99"/>
    <w:unhideWhenUsed w:val="1"/>
    <w:rsid w:val="00B21C1A"/>
    <w:pPr>
      <w:tabs>
        <w:tab w:val="center" w:pos="4252"/>
        <w:tab w:val="right" w:pos="8504"/>
      </w:tabs>
    </w:pPr>
  </w:style>
  <w:style w:type="character" w:styleId="HeaderChar" w:customStyle="1">
    <w:name w:val="Header Char"/>
    <w:basedOn w:val="DefaultParagraphFont"/>
    <w:link w:val="Header"/>
    <w:uiPriority w:val="99"/>
    <w:rsid w:val="00B21C1A"/>
  </w:style>
  <w:style w:type="paragraph" w:styleId="Footer">
    <w:name w:val="footer"/>
    <w:basedOn w:val="Normal"/>
    <w:link w:val="FooterChar"/>
    <w:uiPriority w:val="99"/>
    <w:unhideWhenUsed w:val="1"/>
    <w:rsid w:val="00B21C1A"/>
    <w:pPr>
      <w:tabs>
        <w:tab w:val="center" w:pos="4252"/>
        <w:tab w:val="right" w:pos="8504"/>
      </w:tabs>
    </w:pPr>
  </w:style>
  <w:style w:type="character" w:styleId="FooterChar" w:customStyle="1">
    <w:name w:val="Footer Char"/>
    <w:basedOn w:val="DefaultParagraphFont"/>
    <w:link w:val="Footer"/>
    <w:uiPriority w:val="99"/>
    <w:rsid w:val="00B21C1A"/>
  </w:style>
  <w:style w:type="table" w:styleId="TableGrid">
    <w:name w:val="Table Grid"/>
    <w:basedOn w:val="TableNormal"/>
    <w:uiPriority w:val="59"/>
    <w:rsid w:val="000A0F4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Títle 1 Char"/>
    <w:basedOn w:val="DefaultParagraphFont"/>
    <w:link w:val="Heading1"/>
    <w:uiPriority w:val="9"/>
    <w:rsid w:val="006D729E"/>
    <w:rPr>
      <w:rFonts w:ascii="Times New Roman" w:eastAsia="Times New Roman" w:hAnsi="Times New Roman"/>
      <w:b w:val="1"/>
      <w:bCs w:val="1"/>
      <w:color w:val="70800e"/>
      <w:sz w:val="36"/>
      <w:szCs w:val="24"/>
      <w:lang w:eastAsia="tr-TR" w:val="en-US"/>
    </w:rPr>
  </w:style>
  <w:style w:type="character" w:styleId="Heading2Char" w:customStyle="1">
    <w:name w:val="Heading 2 Char"/>
    <w:aliases w:val="Title 2 Char"/>
    <w:basedOn w:val="DefaultParagraphFont"/>
    <w:link w:val="Heading2"/>
    <w:uiPriority w:val="9"/>
    <w:rsid w:val="007D3D28"/>
    <w:rPr>
      <w:rFonts w:ascii="Times New Roman" w:eastAsia="Times New Roman" w:hAnsi="Times New Roman"/>
      <w:b w:val="1"/>
      <w:bCs w:val="1"/>
      <w:color w:val="70800e"/>
      <w:sz w:val="32"/>
      <w:szCs w:val="26"/>
      <w:lang w:eastAsia="tr-TR" w:val="en-US"/>
    </w:rPr>
  </w:style>
  <w:style w:type="character" w:styleId="Heading3Char" w:customStyle="1">
    <w:name w:val="Heading 3 Char"/>
    <w:aliases w:val="Title 3 Char"/>
    <w:basedOn w:val="DefaultParagraphFont"/>
    <w:link w:val="Heading3"/>
    <w:uiPriority w:val="9"/>
    <w:rsid w:val="006D729E"/>
    <w:rPr>
      <w:rFonts w:ascii="Times New Roman" w:eastAsia="Times New Roman" w:hAnsi="Times New Roman"/>
      <w:b w:val="1"/>
      <w:bCs w:val="1"/>
      <w:color w:val="70800e"/>
      <w:sz w:val="28"/>
      <w:szCs w:val="24"/>
      <w:lang w:eastAsia="tr-TR" w:val="en-US"/>
    </w:rPr>
  </w:style>
  <w:style w:type="character" w:styleId="Heading4Char" w:customStyle="1">
    <w:name w:val="Heading 4 Char"/>
    <w:aliases w:val="Title 4 Char"/>
    <w:basedOn w:val="DefaultParagraphFont"/>
    <w:link w:val="Heading4"/>
    <w:uiPriority w:val="9"/>
    <w:rsid w:val="006D729E"/>
    <w:rPr>
      <w:rFonts w:ascii="Times New Roman" w:eastAsia="Times New Roman" w:hAnsi="Times New Roman"/>
      <w:b w:val="1"/>
      <w:bCs w:val="1"/>
      <w:iCs w:val="1"/>
      <w:color w:val="70800e"/>
      <w:sz w:val="24"/>
      <w:szCs w:val="24"/>
      <w:lang w:eastAsia="tr-TR" w:val="en-US"/>
    </w:rPr>
  </w:style>
  <w:style w:type="numbering" w:styleId="Estilo1" w:customStyle="1">
    <w:name w:val="Estilo1"/>
    <w:rsid w:val="005035AF"/>
    <w:pPr>
      <w:numPr>
        <w:numId w:val="1"/>
      </w:numPr>
    </w:pPr>
  </w:style>
  <w:style w:type="numbering" w:styleId="Estilo2" w:customStyle="1">
    <w:name w:val="Estilo2"/>
    <w:uiPriority w:val="99"/>
    <w:rsid w:val="005C261B"/>
    <w:pPr>
      <w:numPr>
        <w:numId w:val="2"/>
      </w:numPr>
    </w:pPr>
  </w:style>
  <w:style w:type="numbering" w:styleId="Titulo1" w:customStyle="1">
    <w:name w:val="Titulo 1"/>
    <w:uiPriority w:val="99"/>
    <w:rsid w:val="004442BF"/>
    <w:pPr>
      <w:numPr>
        <w:numId w:val="3"/>
      </w:numPr>
    </w:pPr>
  </w:style>
  <w:style w:type="character" w:styleId="Heading5Char" w:customStyle="1">
    <w:name w:val="Heading 5 Char"/>
    <w:aliases w:val="Title 5 Char"/>
    <w:basedOn w:val="DefaultParagraphFont"/>
    <w:link w:val="Heading5"/>
    <w:uiPriority w:val="9"/>
    <w:rsid w:val="004442BF"/>
    <w:rPr>
      <w:rFonts w:ascii="Cambria" w:eastAsia="Times New Roman" w:hAnsi="Cambria"/>
      <w:color w:val="243f60"/>
      <w:sz w:val="24"/>
      <w:szCs w:val="24"/>
      <w:lang w:eastAsia="tr-TR" w:val="en-US"/>
    </w:rPr>
  </w:style>
  <w:style w:type="character" w:styleId="Heading6Char" w:customStyle="1">
    <w:name w:val="Heading 6 Char"/>
    <w:basedOn w:val="DefaultParagraphFont"/>
    <w:link w:val="Heading6"/>
    <w:uiPriority w:val="9"/>
    <w:rsid w:val="004442BF"/>
    <w:rPr>
      <w:rFonts w:ascii="Cambria" w:eastAsia="Times New Roman" w:hAnsi="Cambria"/>
      <w:i w:val="1"/>
      <w:iCs w:val="1"/>
      <w:color w:val="243f60"/>
      <w:sz w:val="24"/>
      <w:szCs w:val="24"/>
      <w:lang w:eastAsia="tr-TR" w:val="en-US"/>
    </w:rPr>
  </w:style>
  <w:style w:type="character" w:styleId="Heading7Char" w:customStyle="1">
    <w:name w:val="Heading 7 Char"/>
    <w:basedOn w:val="DefaultParagraphFont"/>
    <w:link w:val="Heading7"/>
    <w:uiPriority w:val="9"/>
    <w:semiHidden w:val="1"/>
    <w:rsid w:val="004442BF"/>
    <w:rPr>
      <w:rFonts w:ascii="Cambria" w:eastAsia="Times New Roman" w:hAnsi="Cambria"/>
      <w:i w:val="1"/>
      <w:iCs w:val="1"/>
      <w:color w:val="404040"/>
      <w:sz w:val="24"/>
      <w:szCs w:val="24"/>
      <w:lang w:eastAsia="tr-TR" w:val="en-US"/>
    </w:rPr>
  </w:style>
  <w:style w:type="character" w:styleId="Heading8Char" w:customStyle="1">
    <w:name w:val="Heading 8 Char"/>
    <w:basedOn w:val="DefaultParagraphFont"/>
    <w:link w:val="Heading8"/>
    <w:uiPriority w:val="9"/>
    <w:semiHidden w:val="1"/>
    <w:rsid w:val="004442BF"/>
    <w:rPr>
      <w:rFonts w:ascii="Cambria" w:eastAsia="Times New Roman" w:hAnsi="Cambria"/>
      <w:color w:val="404040"/>
      <w:lang w:eastAsia="tr-TR" w:val="en-US"/>
    </w:rPr>
  </w:style>
  <w:style w:type="character" w:styleId="Heading9Char" w:customStyle="1">
    <w:name w:val="Heading 9 Char"/>
    <w:basedOn w:val="DefaultParagraphFont"/>
    <w:link w:val="Heading9"/>
    <w:uiPriority w:val="9"/>
    <w:semiHidden w:val="1"/>
    <w:rsid w:val="004442BF"/>
    <w:rPr>
      <w:rFonts w:ascii="Cambria" w:eastAsia="Times New Roman" w:hAnsi="Cambria"/>
      <w:i w:val="1"/>
      <w:iCs w:val="1"/>
      <w:color w:val="404040"/>
      <w:lang w:eastAsia="tr-TR" w:val="en-US"/>
    </w:rPr>
  </w:style>
  <w:style w:type="paragraph" w:styleId="TOCHeading">
    <w:name w:val="TOC Heading"/>
    <w:basedOn w:val="Heading1"/>
    <w:next w:val="Normal"/>
    <w:uiPriority w:val="39"/>
    <w:unhideWhenUsed w:val="1"/>
    <w:qFormat w:val="1"/>
    <w:rsid w:val="00D60AC8"/>
    <w:pPr>
      <w:numPr>
        <w:numId w:val="0"/>
      </w:numPr>
      <w:spacing w:after="0"/>
      <w:outlineLvl w:val="9"/>
    </w:pPr>
    <w:rPr>
      <w:rFonts w:ascii="Cambria" w:hAnsi="Cambria"/>
      <w:color w:val="365f91"/>
      <w:sz w:val="28"/>
      <w:szCs w:val="28"/>
    </w:rPr>
  </w:style>
  <w:style w:type="paragraph" w:styleId="TOC1">
    <w:name w:val="toc 1"/>
    <w:basedOn w:val="Normal"/>
    <w:next w:val="Normal"/>
    <w:autoRedefine w:val="1"/>
    <w:uiPriority w:val="39"/>
    <w:unhideWhenUsed w:val="1"/>
    <w:qFormat w:val="1"/>
    <w:rsid w:val="007777DA"/>
    <w:pPr>
      <w:tabs>
        <w:tab w:val="left" w:pos="284"/>
        <w:tab w:val="left" w:pos="341"/>
        <w:tab w:val="right" w:leader="dot" w:pos="8494"/>
      </w:tabs>
      <w:spacing w:after="120" w:before="120"/>
    </w:pPr>
    <w:rPr>
      <w:b w:val="1"/>
      <w:bCs w:val="1"/>
      <w:caps w:val="1"/>
      <w:sz w:val="20"/>
      <w:szCs w:val="20"/>
    </w:rPr>
  </w:style>
  <w:style w:type="paragraph" w:styleId="TOC2">
    <w:name w:val="toc 2"/>
    <w:basedOn w:val="Normal"/>
    <w:next w:val="Normal"/>
    <w:autoRedefine w:val="1"/>
    <w:uiPriority w:val="39"/>
    <w:unhideWhenUsed w:val="1"/>
    <w:qFormat w:val="1"/>
    <w:rsid w:val="000C0D57"/>
    <w:pPr>
      <w:tabs>
        <w:tab w:val="left" w:pos="709"/>
        <w:tab w:val="right" w:leader="dot" w:pos="8494"/>
      </w:tabs>
      <w:ind w:left="284"/>
    </w:pPr>
    <w:rPr>
      <w:smallCaps w:val="1"/>
      <w:sz w:val="20"/>
      <w:szCs w:val="20"/>
    </w:rPr>
  </w:style>
  <w:style w:type="paragraph" w:styleId="TOC3">
    <w:name w:val="toc 3"/>
    <w:basedOn w:val="Normal"/>
    <w:next w:val="Normal"/>
    <w:autoRedefine w:val="1"/>
    <w:uiPriority w:val="39"/>
    <w:unhideWhenUsed w:val="1"/>
    <w:qFormat w:val="1"/>
    <w:rsid w:val="00F21C47"/>
    <w:pPr>
      <w:tabs>
        <w:tab w:val="left" w:pos="1276"/>
        <w:tab w:val="right" w:leader="dot" w:pos="8494"/>
      </w:tabs>
      <w:ind w:left="709"/>
    </w:pPr>
    <w:rPr>
      <w:i w:val="1"/>
      <w:iCs w:val="1"/>
      <w:noProof w:val="1"/>
      <w:sz w:val="20"/>
      <w:szCs w:val="20"/>
    </w:rPr>
  </w:style>
  <w:style w:type="character" w:styleId="Hyperlink">
    <w:name w:val="Hyperlink"/>
    <w:basedOn w:val="DefaultParagraphFont"/>
    <w:uiPriority w:val="99"/>
    <w:unhideWhenUsed w:val="1"/>
    <w:rsid w:val="00D60AC8"/>
    <w:rPr>
      <w:color w:val="0000ff"/>
      <w:u w:val="single"/>
    </w:rPr>
  </w:style>
  <w:style w:type="paragraph" w:styleId="TOC4">
    <w:name w:val="toc 4"/>
    <w:basedOn w:val="Normal"/>
    <w:next w:val="Normal"/>
    <w:autoRedefine w:val="1"/>
    <w:uiPriority w:val="39"/>
    <w:unhideWhenUsed w:val="1"/>
    <w:rsid w:val="006F19A9"/>
    <w:pPr>
      <w:ind w:left="660"/>
    </w:pPr>
    <w:rPr>
      <w:sz w:val="18"/>
      <w:szCs w:val="18"/>
    </w:rPr>
  </w:style>
  <w:style w:type="paragraph" w:styleId="Title">
    <w:name w:val="Title"/>
    <w:basedOn w:val="Normal"/>
    <w:next w:val="Normal"/>
    <w:link w:val="TitleChar"/>
    <w:uiPriority w:val="10"/>
    <w:rsid w:val="00EE2E4A"/>
    <w:pPr>
      <w:spacing w:after="60" w:before="240"/>
      <w:jc w:val="center"/>
      <w:outlineLvl w:val="0"/>
    </w:pPr>
    <w:rPr>
      <w:rFonts w:ascii="Cambria" w:hAnsi="Cambria"/>
      <w:b w:val="1"/>
      <w:bCs w:val="1"/>
      <w:kern w:val="28"/>
      <w:sz w:val="32"/>
      <w:szCs w:val="32"/>
    </w:rPr>
  </w:style>
  <w:style w:type="character" w:styleId="TitleChar" w:customStyle="1">
    <w:name w:val="Title Char"/>
    <w:basedOn w:val="DefaultParagraphFont"/>
    <w:link w:val="Title"/>
    <w:uiPriority w:val="10"/>
    <w:rsid w:val="00EE2E4A"/>
    <w:rPr>
      <w:rFonts w:ascii="Cambria" w:cs="Times New Roman" w:eastAsia="Times New Roman" w:hAnsi="Cambria"/>
      <w:b w:val="1"/>
      <w:bCs w:val="1"/>
      <w:kern w:val="28"/>
      <w:sz w:val="32"/>
      <w:szCs w:val="32"/>
      <w:lang w:eastAsia="en-US"/>
    </w:rPr>
  </w:style>
  <w:style w:type="character" w:styleId="SubtleEmphasis">
    <w:name w:val="Subtle Emphasis"/>
    <w:basedOn w:val="DefaultParagraphFont"/>
    <w:uiPriority w:val="19"/>
    <w:qFormat w:val="1"/>
    <w:rsid w:val="00EE2E4A"/>
    <w:rPr>
      <w:i w:val="1"/>
      <w:iCs w:val="1"/>
      <w:color w:val="808080"/>
    </w:rPr>
  </w:style>
  <w:style w:type="paragraph" w:styleId="TOC5">
    <w:name w:val="toc 5"/>
    <w:basedOn w:val="Normal"/>
    <w:next w:val="Normal"/>
    <w:autoRedefine w:val="1"/>
    <w:uiPriority w:val="39"/>
    <w:unhideWhenUsed w:val="1"/>
    <w:rsid w:val="000C0D57"/>
    <w:pPr>
      <w:ind w:left="880"/>
    </w:pPr>
    <w:rPr>
      <w:sz w:val="18"/>
      <w:szCs w:val="18"/>
    </w:rPr>
  </w:style>
  <w:style w:type="paragraph" w:styleId="TOC6">
    <w:name w:val="toc 6"/>
    <w:basedOn w:val="Normal"/>
    <w:next w:val="Normal"/>
    <w:autoRedefine w:val="1"/>
    <w:uiPriority w:val="39"/>
    <w:unhideWhenUsed w:val="1"/>
    <w:rsid w:val="000C0D57"/>
    <w:pPr>
      <w:ind w:left="1100"/>
    </w:pPr>
    <w:rPr>
      <w:sz w:val="18"/>
      <w:szCs w:val="18"/>
    </w:rPr>
  </w:style>
  <w:style w:type="paragraph" w:styleId="TOC7">
    <w:name w:val="toc 7"/>
    <w:basedOn w:val="Normal"/>
    <w:next w:val="Normal"/>
    <w:autoRedefine w:val="1"/>
    <w:uiPriority w:val="39"/>
    <w:unhideWhenUsed w:val="1"/>
    <w:rsid w:val="000C0D57"/>
    <w:pPr>
      <w:ind w:left="1320"/>
    </w:pPr>
    <w:rPr>
      <w:sz w:val="18"/>
      <w:szCs w:val="18"/>
    </w:rPr>
  </w:style>
  <w:style w:type="paragraph" w:styleId="TOC8">
    <w:name w:val="toc 8"/>
    <w:basedOn w:val="Normal"/>
    <w:next w:val="Normal"/>
    <w:autoRedefine w:val="1"/>
    <w:uiPriority w:val="39"/>
    <w:unhideWhenUsed w:val="1"/>
    <w:rsid w:val="000C0D57"/>
    <w:pPr>
      <w:ind w:left="1540"/>
    </w:pPr>
    <w:rPr>
      <w:sz w:val="18"/>
      <w:szCs w:val="18"/>
    </w:rPr>
  </w:style>
  <w:style w:type="paragraph" w:styleId="TOC9">
    <w:name w:val="toc 9"/>
    <w:basedOn w:val="Normal"/>
    <w:next w:val="Normal"/>
    <w:autoRedefine w:val="1"/>
    <w:uiPriority w:val="39"/>
    <w:unhideWhenUsed w:val="1"/>
    <w:rsid w:val="000C0D57"/>
    <w:pPr>
      <w:ind w:left="1760"/>
    </w:pPr>
    <w:rPr>
      <w:sz w:val="18"/>
      <w:szCs w:val="18"/>
    </w:rPr>
  </w:style>
  <w:style w:type="paragraph" w:styleId="ListParagraph">
    <w:name w:val="List Paragraph"/>
    <w:basedOn w:val="Normal"/>
    <w:uiPriority w:val="34"/>
    <w:qFormat w:val="1"/>
    <w:rsid w:val="00037C45"/>
    <w:pPr>
      <w:ind w:left="720"/>
      <w:contextualSpacing w:val="1"/>
    </w:pPr>
    <w:rPr>
      <w:szCs w:val="20"/>
      <w:lang w:eastAsia="es-ES" w:val="es-ES_tradnl"/>
    </w:rPr>
  </w:style>
  <w:style w:type="character" w:styleId="apple-converted-space" w:customStyle="1">
    <w:name w:val="apple-converted-space"/>
    <w:basedOn w:val="DefaultParagraphFont"/>
    <w:rsid w:val="005974FD"/>
    <w:rPr>
      <w:rFonts w:cs="Times New Roman"/>
    </w:rPr>
  </w:style>
  <w:style w:type="paragraph" w:styleId="PiedeTabla7" w:customStyle="1">
    <w:name w:val="Pie de Tabla 7"/>
    <w:basedOn w:val="Normal"/>
    <w:next w:val="Normal"/>
    <w:autoRedefine w:val="1"/>
    <w:rsid w:val="00667FBE"/>
    <w:pPr>
      <w:spacing w:after="120" w:before="120"/>
      <w:jc w:val="center"/>
    </w:pPr>
    <w:rPr>
      <w:i w:val="1"/>
      <w:sz w:val="20"/>
      <w:szCs w:val="20"/>
      <w:lang w:eastAsia="es-ES" w:val="es-ES_tradnl"/>
    </w:rPr>
  </w:style>
  <w:style w:type="paragraph" w:styleId="yazi01" w:customStyle="1">
    <w:name w:val="yazi01"/>
    <w:basedOn w:val="Normal"/>
    <w:uiPriority w:val="99"/>
    <w:rsid w:val="001A77C3"/>
    <w:pPr>
      <w:spacing w:after="100" w:afterAutospacing="1" w:before="100" w:beforeAutospacing="1"/>
    </w:pPr>
    <w:rPr>
      <w:rFonts w:ascii="Verdana" w:hAnsi="Verdana"/>
      <w:color w:val="000000"/>
      <w:sz w:val="17"/>
      <w:szCs w:val="17"/>
    </w:rPr>
  </w:style>
  <w:style w:type="paragraph" w:styleId="Default" w:customStyle="1">
    <w:name w:val="Default"/>
    <w:rsid w:val="005C4538"/>
    <w:pPr>
      <w:autoSpaceDE w:val="0"/>
      <w:autoSpaceDN w:val="0"/>
      <w:adjustRightInd w:val="0"/>
    </w:pPr>
    <w:rPr>
      <w:rFonts w:cs="Calibri" w:eastAsiaTheme="minorHAnsi"/>
      <w:color w:val="000000"/>
      <w:sz w:val="24"/>
      <w:szCs w:val="24"/>
      <w:lang w:eastAsia="en-US" w:val="es-ES"/>
    </w:rPr>
  </w:style>
  <w:style w:type="paragraph" w:styleId="FootnoteText">
    <w:name w:val="footnote text"/>
    <w:basedOn w:val="Normal"/>
    <w:link w:val="FootnoteTextChar"/>
    <w:uiPriority w:val="99"/>
    <w:semiHidden w:val="1"/>
    <w:unhideWhenUsed w:val="1"/>
    <w:rsid w:val="00951072"/>
    <w:rPr>
      <w:sz w:val="20"/>
      <w:szCs w:val="20"/>
    </w:rPr>
  </w:style>
  <w:style w:type="character" w:styleId="FootnoteTextChar" w:customStyle="1">
    <w:name w:val="Footnote Text Char"/>
    <w:basedOn w:val="DefaultParagraphFont"/>
    <w:link w:val="FootnoteText"/>
    <w:uiPriority w:val="99"/>
    <w:semiHidden w:val="1"/>
    <w:rsid w:val="00951072"/>
    <w:rPr>
      <w:lang w:eastAsia="en-US" w:val="es-ES"/>
    </w:rPr>
  </w:style>
  <w:style w:type="character" w:styleId="FootnoteReference">
    <w:name w:val="footnote reference"/>
    <w:basedOn w:val="DefaultParagraphFont"/>
    <w:uiPriority w:val="99"/>
    <w:semiHidden w:val="1"/>
    <w:unhideWhenUsed w:val="1"/>
    <w:rsid w:val="00951072"/>
    <w:rPr>
      <w:vertAlign w:val="superscript"/>
    </w:rPr>
  </w:style>
  <w:style w:type="character" w:styleId="CommentReference">
    <w:name w:val="annotation reference"/>
    <w:basedOn w:val="DefaultParagraphFont"/>
    <w:uiPriority w:val="99"/>
    <w:semiHidden w:val="1"/>
    <w:unhideWhenUsed w:val="1"/>
    <w:rsid w:val="00871DAA"/>
    <w:rPr>
      <w:sz w:val="16"/>
      <w:szCs w:val="16"/>
    </w:rPr>
  </w:style>
  <w:style w:type="paragraph" w:styleId="CommentText">
    <w:name w:val="annotation text"/>
    <w:basedOn w:val="Normal"/>
    <w:link w:val="CommentTextChar"/>
    <w:uiPriority w:val="99"/>
    <w:semiHidden w:val="1"/>
    <w:unhideWhenUsed w:val="1"/>
    <w:rsid w:val="00871DAA"/>
    <w:rPr>
      <w:sz w:val="20"/>
      <w:szCs w:val="20"/>
    </w:rPr>
  </w:style>
  <w:style w:type="character" w:styleId="CommentTextChar" w:customStyle="1">
    <w:name w:val="Comment Text Char"/>
    <w:basedOn w:val="DefaultParagraphFont"/>
    <w:link w:val="CommentText"/>
    <w:uiPriority w:val="99"/>
    <w:semiHidden w:val="1"/>
    <w:rsid w:val="00871DAA"/>
    <w:rPr>
      <w:lang w:eastAsia="en-US" w:val="es-ES"/>
    </w:rPr>
  </w:style>
  <w:style w:type="paragraph" w:styleId="CommentSubject">
    <w:name w:val="annotation subject"/>
    <w:basedOn w:val="CommentText"/>
    <w:next w:val="CommentText"/>
    <w:link w:val="CommentSubjectChar"/>
    <w:uiPriority w:val="99"/>
    <w:semiHidden w:val="1"/>
    <w:unhideWhenUsed w:val="1"/>
    <w:rsid w:val="00871DAA"/>
    <w:rPr>
      <w:b w:val="1"/>
      <w:bCs w:val="1"/>
    </w:rPr>
  </w:style>
  <w:style w:type="character" w:styleId="CommentSubjectChar" w:customStyle="1">
    <w:name w:val="Comment Subject Char"/>
    <w:basedOn w:val="CommentTextChar"/>
    <w:link w:val="CommentSubject"/>
    <w:uiPriority w:val="99"/>
    <w:semiHidden w:val="1"/>
    <w:rsid w:val="00871DAA"/>
    <w:rPr>
      <w:b w:val="1"/>
      <w:bCs w:val="1"/>
      <w:lang w:eastAsia="en-US" w:val="es-ES"/>
    </w:rPr>
  </w:style>
  <w:style w:type="paragraph" w:styleId="NormalWeb">
    <w:name w:val="Normal (Web)"/>
    <w:basedOn w:val="Normal"/>
    <w:uiPriority w:val="99"/>
    <w:unhideWhenUsed w:val="1"/>
    <w:rsid w:val="00E435B3"/>
    <w:pPr>
      <w:spacing w:after="100" w:afterAutospacing="1" w:before="100" w:beforeAutospacing="1"/>
    </w:pPr>
  </w:style>
  <w:style w:type="paragraph" w:styleId="Caption">
    <w:name w:val="caption"/>
    <w:basedOn w:val="Normal"/>
    <w:next w:val="Normal"/>
    <w:qFormat w:val="1"/>
    <w:rsid w:val="003A01A2"/>
    <w:pPr>
      <w:tabs>
        <w:tab w:val="left" w:pos="850"/>
        <w:tab w:val="left" w:pos="1191"/>
        <w:tab w:val="left" w:pos="1531"/>
      </w:tabs>
      <w:spacing w:after="120" w:before="120"/>
    </w:pPr>
    <w:rPr>
      <w:rFonts w:ascii="Times" w:hAnsi="Times"/>
      <w:b w:val="1"/>
      <w:szCs w:val="20"/>
      <w:lang w:val="fr-FR"/>
    </w:rPr>
  </w:style>
  <w:style w:type="character" w:styleId="Strong">
    <w:name w:val="Strong"/>
    <w:basedOn w:val="DefaultParagraphFont"/>
    <w:uiPriority w:val="22"/>
    <w:qFormat w:val="1"/>
    <w:rsid w:val="00F65C16"/>
    <w:rPr>
      <w:b w:val="1"/>
      <w:bCs w:val="1"/>
    </w:rPr>
  </w:style>
  <w:style w:type="paragraph" w:styleId="a" w:customStyle="1">
    <w:basedOn w:val="Normal"/>
    <w:next w:val="Header"/>
    <w:link w:val="stbilgiChar"/>
    <w:uiPriority w:val="99"/>
    <w:rsid w:val="009907CF"/>
    <w:pPr>
      <w:tabs>
        <w:tab w:val="center" w:pos="4252"/>
        <w:tab w:val="right" w:pos="8504"/>
      </w:tabs>
    </w:pPr>
    <w:rPr>
      <w:sz w:val="20"/>
      <w:szCs w:val="20"/>
      <w:lang w:eastAsia="es-ES" w:val="es-ES_tradnl"/>
    </w:rPr>
  </w:style>
  <w:style w:type="character" w:styleId="stbilgiChar" w:customStyle="1">
    <w:name w:val="Üstbilgi Char"/>
    <w:link w:val="a"/>
    <w:uiPriority w:val="99"/>
    <w:locked w:val="1"/>
    <w:rsid w:val="009907CF"/>
    <w:rPr>
      <w:rFonts w:cs="Times New Roman"/>
    </w:rPr>
  </w:style>
  <w:style w:type="character" w:styleId="UnresolvedMention">
    <w:name w:val="Unresolved Mention"/>
    <w:basedOn w:val="DefaultParagraphFont"/>
    <w:uiPriority w:val="99"/>
    <w:semiHidden w:val="1"/>
    <w:unhideWhenUsed w:val="1"/>
    <w:rsid w:val="002E35B6"/>
    <w:rPr>
      <w:color w:val="605e5c"/>
      <w:shd w:color="auto" w:fill="e1dfdd" w:val="clear"/>
    </w:rPr>
  </w:style>
  <w:style w:type="paragraph" w:styleId="paragraph" w:customStyle="1">
    <w:name w:val="paragraph"/>
    <w:basedOn w:val="Normal"/>
    <w:rsid w:val="005D461B"/>
    <w:pPr>
      <w:spacing w:after="100" w:afterAutospacing="1" w:before="100" w:beforeAutospacing="1"/>
    </w:pPr>
  </w:style>
  <w:style w:type="character" w:styleId="normaltextrun" w:customStyle="1">
    <w:name w:val="normaltextrun"/>
    <w:basedOn w:val="DefaultParagraphFont"/>
    <w:rsid w:val="005D461B"/>
  </w:style>
  <w:style w:type="character" w:styleId="eop" w:customStyle="1">
    <w:name w:val="eop"/>
    <w:basedOn w:val="DefaultParagraphFont"/>
    <w:rsid w:val="005D461B"/>
  </w:style>
  <w:style w:type="paragraph" w:styleId="Revision">
    <w:name w:val="Revision"/>
    <w:hidden w:val="1"/>
    <w:uiPriority w:val="71"/>
    <w:rsid w:val="00003BFC"/>
    <w:rPr>
      <w:rFonts w:ascii="Times New Roman" w:eastAsia="Times New Roman" w:hAnsi="Times New Roman"/>
      <w:sz w:val="24"/>
      <w:szCs w:val="24"/>
      <w:lang w:eastAsia="tr-TR" w:val="tr-TR"/>
    </w:rPr>
  </w:style>
  <w:style w:type="character" w:styleId="FollowedHyperlink">
    <w:name w:val="FollowedHyperlink"/>
    <w:basedOn w:val="DefaultParagraphFont"/>
    <w:uiPriority w:val="99"/>
    <w:semiHidden w:val="1"/>
    <w:unhideWhenUsed w:val="1"/>
    <w:rsid w:val="00147405"/>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3.png"/><Relationship Id="rId10" Type="http://schemas.openxmlformats.org/officeDocument/2006/relationships/header" Target="header2.xml"/><Relationship Id="rId13" Type="http://schemas.openxmlformats.org/officeDocument/2006/relationships/hyperlink" Target="https://climate-adapt.eea.europa.eu/en" TargetMode="Externa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5" Type="http://schemas.openxmlformats.org/officeDocument/2006/relationships/hyperlink" Target="https://ec.europa.eu/regional_policy/funding/cohesion-fund_en" TargetMode="External"/><Relationship Id="rId14" Type="http://schemas.openxmlformats.org/officeDocument/2006/relationships/hyperlink" Target="https://ec.europa.eu/regional_policy/funding/erdf_en" TargetMode="External"/><Relationship Id="rId17" Type="http://schemas.openxmlformats.org/officeDocument/2006/relationships/hyperlink" Target="https://cinea.ec.europa.eu/programmes/life_en" TargetMode="External"/><Relationship Id="rId16" Type="http://schemas.openxmlformats.org/officeDocument/2006/relationships/hyperlink" Target="https://commission.europa.eu/strategy-and-policy/priorities-2019-2024/european-green-deal/finance-and-green-deal/just-transition-mechanism_en" TargetMode="External"/><Relationship Id="rId5" Type="http://schemas.openxmlformats.org/officeDocument/2006/relationships/numbering" Target="numbering.xml"/><Relationship Id="rId19" Type="http://schemas.openxmlformats.org/officeDocument/2006/relationships/header" Target="header4.xml"/><Relationship Id="rId6" Type="http://schemas.openxmlformats.org/officeDocument/2006/relationships/styles" Target="styles.xml"/><Relationship Id="rId18" Type="http://schemas.openxmlformats.org/officeDocument/2006/relationships/hyperlink" Target="https://cinea.ec.europa.eu/programmes/horizon-europe_en" TargetMode="External"/><Relationship Id="rId7" Type="http://schemas.openxmlformats.org/officeDocument/2006/relationships/customXml" Target="../customXML/item1.xm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1" Type="http://schemas.openxmlformats.org/officeDocument/2006/relationships/hyperlink" Target="https://www.globalcovenantofmayors.org/wp-content/uploads/2024/11/GCoM-Impact-Report-24.pdf" TargetMode="External"/><Relationship Id="rId10" Type="http://schemas.openxmlformats.org/officeDocument/2006/relationships/hyperlink" Target="https://eu-mayors.ec.europa.eu/en/key_figures" TargetMode="External"/><Relationship Id="rId13" Type="http://schemas.openxmlformats.org/officeDocument/2006/relationships/hyperlink" Target="https://commission.europa.eu/funding-tenders/find-funding/funding-management-mode_en" TargetMode="External"/><Relationship Id="rId12" Type="http://schemas.openxmlformats.org/officeDocument/2006/relationships/hyperlink" Target="https://eu-mayors.ec.europa.eu/system/files/2022-07/eumayors-commitment-2021-EN.docx" TargetMode="External"/><Relationship Id="rId1" Type="http://schemas.openxmlformats.org/officeDocument/2006/relationships/hyperlink" Target="https://commission.europa.eu/strategy-and-policy/priorities-2019-2024/european-green-deal_en" TargetMode="External"/><Relationship Id="rId2" Type="http://schemas.openxmlformats.org/officeDocument/2006/relationships/hyperlink" Target="https://data.consilium.europa.eu/doc/document/ST-169-2014-INIT/en/pdf" TargetMode="External"/><Relationship Id="rId3" Type="http://schemas.openxmlformats.org/officeDocument/2006/relationships/hyperlink" Target="https://eur-lex.europa.eu/legal-content/EN/TXT/?uri=CELEX:32021R1119" TargetMode="External"/><Relationship Id="rId4" Type="http://schemas.openxmlformats.org/officeDocument/2006/relationships/hyperlink" Target="https://climate.ec.europa.eu/eu-action/eu-emissions-trading-system-eu-ets_en" TargetMode="External"/><Relationship Id="rId9" Type="http://schemas.openxmlformats.org/officeDocument/2006/relationships/hyperlink" Target="https://eu-mayors.ec.europa.eu/en/home" TargetMode="External"/><Relationship Id="rId14" Type="http://schemas.openxmlformats.org/officeDocument/2006/relationships/hyperlink" Target="https://eu-mayors.ec.europa.eu/en/resources/funding_guide" TargetMode="External"/><Relationship Id="rId5" Type="http://schemas.openxmlformats.org/officeDocument/2006/relationships/hyperlink" Target="https://energy.ec.europa.eu/topics/renewable-energy/renewable-energy-directive-targets-and-rules/renewable-energy-directive_en" TargetMode="External"/><Relationship Id="rId6" Type="http://schemas.openxmlformats.org/officeDocument/2006/relationships/hyperlink" Target="https://energy.ec.europa.eu/topics/energy-efficiency/energy-efficiency-targets-directive-and-rules/energy-efficiency-directive_en" TargetMode="External"/><Relationship Id="rId7" Type="http://schemas.openxmlformats.org/officeDocument/2006/relationships/hyperlink" Target="https://www.eea.europa.eu/en/analysis/indicators/greenhouse-gas-emissions-from-land" TargetMode="External"/><Relationship Id="rId8" Type="http://schemas.openxmlformats.org/officeDocument/2006/relationships/hyperlink" Target="https://eur-lex.europa.eu/legal-content/EN/TXT/?uri=SWD:2021:26:F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W4TwJ/9gwgSIEDNNO2aUhrM5tw==">CgMxLjAyCGguZ2pkZ3hzMgloLjFmb2I5dGUyCWguM3pueXNoNzIJaC4yZXQ5MnAwMghoLnR5amN3dDIJaC4zZHk2dmttMgloLjF0M2g1c2YyCWguNGQzNG9nODIJaC4yczhleW8xMgloLjE3ZHA4dnUyCWguM3JkY3JqbjIJaC4yNmluMXJnOAByITFPZk1oMm5PUGVFcjFwcGhiLXRUamkzMGNselkyME1QXw==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2025-02-12T11:17:00Z</dcterms:created>
  <dc:creator>María Izquierdo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quot;Category”">
    <vt:lpwstr>"Category”</vt:lpwstr>
  </property>
</Properties>
</file>